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BB" w:rsidRPr="00DE7E61" w:rsidRDefault="006A58BB" w:rsidP="006A58BB">
      <w:pPr>
        <w:jc w:val="center"/>
        <w:rPr>
          <w:rFonts w:ascii="Times New Roman" w:hAnsi="Times New Roman" w:cs="Times New Roman"/>
          <w:b/>
          <w:sz w:val="24"/>
          <w:szCs w:val="24"/>
          <w:lang w:val="en-US"/>
        </w:rPr>
      </w:pPr>
      <w:r w:rsidRPr="00DE7E61">
        <w:rPr>
          <w:rFonts w:ascii="Times New Roman" w:hAnsi="Times New Roman" w:cs="Times New Roman"/>
          <w:b/>
          <w:sz w:val="24"/>
          <w:szCs w:val="24"/>
          <w:lang w:val="en-US"/>
        </w:rPr>
        <w:t>SOUTH KAZAKHSTAN STATE PEDAGOGICAL UNIVERSITY</w:t>
      </w:r>
    </w:p>
    <w:p w:rsidR="006A58BB" w:rsidRPr="00465F2B" w:rsidRDefault="006A58BB" w:rsidP="006A58BB">
      <w:pPr>
        <w:rPr>
          <w:rFonts w:ascii="Times New Roman" w:hAnsi="Times New Roman" w:cs="Times New Roman"/>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776ECF" w:rsidRPr="00776ECF" w:rsidRDefault="00776ECF" w:rsidP="00776ECF">
      <w:pPr>
        <w:jc w:val="center"/>
        <w:rPr>
          <w:rFonts w:ascii="Times New Roman" w:hAnsi="Times New Roman" w:cs="Times New Roman"/>
          <w:b/>
          <w:sz w:val="24"/>
          <w:szCs w:val="24"/>
          <w:lang w:val="en-US"/>
        </w:rPr>
      </w:pPr>
      <w:r w:rsidRPr="00776ECF">
        <w:rPr>
          <w:rFonts w:ascii="Times New Roman" w:hAnsi="Times New Roman" w:cs="Times New Roman"/>
          <w:b/>
          <w:sz w:val="24"/>
          <w:szCs w:val="24"/>
          <w:lang w:val="en-US"/>
        </w:rPr>
        <w:t>REPORT</w:t>
      </w:r>
    </w:p>
    <w:p w:rsidR="006A58BB" w:rsidRPr="00776ECF" w:rsidRDefault="00776ECF" w:rsidP="00776ECF">
      <w:pPr>
        <w:jc w:val="center"/>
        <w:rPr>
          <w:rFonts w:ascii="Times New Roman" w:hAnsi="Times New Roman" w:cs="Times New Roman"/>
          <w:b/>
          <w:sz w:val="24"/>
          <w:szCs w:val="24"/>
          <w:lang w:val="en-US"/>
        </w:rPr>
      </w:pPr>
      <w:r w:rsidRPr="00776ECF">
        <w:rPr>
          <w:rFonts w:ascii="Times New Roman" w:hAnsi="Times New Roman" w:cs="Times New Roman"/>
          <w:b/>
          <w:sz w:val="24"/>
          <w:szCs w:val="24"/>
          <w:lang w:val="en-US"/>
        </w:rPr>
        <w:t>DETERMINATION OF RATINGS FOR EVALUATING THE ACTIVITIES OF THE TEACHING STAFF OF SKSPU ON THE IMPLEMENTATION OF INDICATIVE PLANS FOR THE 2020-2021 ACADEMIC YEAR</w:t>
      </w:r>
    </w:p>
    <w:p w:rsidR="006A58BB" w:rsidRPr="00465F2B" w:rsidRDefault="006A58BB" w:rsidP="006A58BB">
      <w:pPr>
        <w:jc w:val="cente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6A58BB" w:rsidRPr="00465F2B" w:rsidRDefault="006A58BB" w:rsidP="006A58BB">
      <w:pPr>
        <w:rPr>
          <w:sz w:val="24"/>
          <w:szCs w:val="24"/>
          <w:lang w:val="en-US"/>
        </w:rPr>
      </w:pPr>
    </w:p>
    <w:p w:rsidR="004743F4" w:rsidRPr="00A75B4F" w:rsidRDefault="004743F4" w:rsidP="006A58BB">
      <w:pPr>
        <w:jc w:val="center"/>
        <w:rPr>
          <w:rFonts w:ascii="Times New Roman" w:hAnsi="Times New Roman" w:cs="Times New Roman"/>
          <w:b/>
          <w:sz w:val="24"/>
          <w:szCs w:val="24"/>
          <w:lang w:val="en-US"/>
        </w:rPr>
      </w:pPr>
    </w:p>
    <w:p w:rsidR="004743F4" w:rsidRPr="00A75B4F" w:rsidRDefault="004743F4" w:rsidP="006A58BB">
      <w:pPr>
        <w:jc w:val="center"/>
        <w:rPr>
          <w:rFonts w:ascii="Times New Roman" w:hAnsi="Times New Roman" w:cs="Times New Roman"/>
          <w:b/>
          <w:sz w:val="24"/>
          <w:szCs w:val="24"/>
          <w:lang w:val="en-US"/>
        </w:rPr>
      </w:pPr>
    </w:p>
    <w:p w:rsidR="004743F4" w:rsidRPr="00A75B4F" w:rsidRDefault="004743F4" w:rsidP="006A58BB">
      <w:pPr>
        <w:jc w:val="center"/>
        <w:rPr>
          <w:rFonts w:ascii="Times New Roman" w:hAnsi="Times New Roman" w:cs="Times New Roman"/>
          <w:b/>
          <w:sz w:val="24"/>
          <w:szCs w:val="24"/>
          <w:lang w:val="en-US"/>
        </w:rPr>
      </w:pPr>
    </w:p>
    <w:p w:rsidR="004743F4" w:rsidRPr="00A75B4F" w:rsidRDefault="004743F4" w:rsidP="006A58BB">
      <w:pPr>
        <w:jc w:val="center"/>
        <w:rPr>
          <w:rFonts w:ascii="Times New Roman" w:hAnsi="Times New Roman" w:cs="Times New Roman"/>
          <w:b/>
          <w:sz w:val="24"/>
          <w:szCs w:val="24"/>
          <w:lang w:val="en-US"/>
        </w:rPr>
      </w:pPr>
    </w:p>
    <w:p w:rsidR="00682AA6" w:rsidRPr="0099775E" w:rsidRDefault="006A58BB" w:rsidP="006A58BB">
      <w:pPr>
        <w:jc w:val="center"/>
        <w:rPr>
          <w:rFonts w:ascii="Times New Roman" w:hAnsi="Times New Roman" w:cs="Times New Roman"/>
          <w:b/>
          <w:sz w:val="24"/>
          <w:szCs w:val="24"/>
          <w:lang w:val="en-US"/>
        </w:rPr>
      </w:pPr>
      <w:r w:rsidRPr="0099775E">
        <w:rPr>
          <w:rFonts w:ascii="Times New Roman" w:hAnsi="Times New Roman" w:cs="Times New Roman"/>
          <w:b/>
          <w:sz w:val="24"/>
          <w:szCs w:val="24"/>
          <w:lang w:val="en-US"/>
        </w:rPr>
        <w:t>SHYMKENT-2021</w:t>
      </w:r>
    </w:p>
    <w:p w:rsidR="006A58BB" w:rsidRPr="00465F2B" w:rsidRDefault="006A58BB" w:rsidP="006A58BB">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lastRenderedPageBreak/>
        <w:t xml:space="preserve">In accordance with the regulations of the South Kazakhstan State Pedagogical University, the Department of Strategic Planning, management and monitoring in June 2021 summed up the results of the rating of the teaching staff, departments and faculties and the performance of indicative indicators of the teaching staff of SKSPU for the 2020-2021 academic </w:t>
      </w:r>
      <w:proofErr w:type="gramStart"/>
      <w:r w:rsidRPr="00465F2B">
        <w:rPr>
          <w:rFonts w:ascii="Times New Roman" w:hAnsi="Times New Roman" w:cs="Times New Roman"/>
          <w:sz w:val="24"/>
          <w:szCs w:val="24"/>
          <w:lang w:val="en-US"/>
        </w:rPr>
        <w:t>year</w:t>
      </w:r>
      <w:proofErr w:type="gramEnd"/>
      <w:r w:rsidRPr="00465F2B">
        <w:rPr>
          <w:rFonts w:ascii="Times New Roman" w:hAnsi="Times New Roman" w:cs="Times New Roman"/>
          <w:sz w:val="24"/>
          <w:szCs w:val="24"/>
          <w:lang w:val="en-US"/>
        </w:rPr>
        <w:t>.</w:t>
      </w:r>
    </w:p>
    <w:p w:rsidR="006A58BB" w:rsidRPr="001645FF" w:rsidRDefault="006A58BB" w:rsidP="006A58BB">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To determine the ratings for evaluating the activities of the teaching staff based on the results of the implementation of indicative plans, evaluation points were determined and approved in accordance with 88 different indicators for educational and methodological work, 155 different indicators for research and innovation work, 14 different indicators for social activities, 27 different indicators for educationa</w:t>
      </w:r>
      <w:r w:rsidR="001645FF">
        <w:rPr>
          <w:rFonts w:ascii="Times New Roman" w:hAnsi="Times New Roman" w:cs="Times New Roman"/>
          <w:sz w:val="24"/>
          <w:szCs w:val="24"/>
          <w:lang w:val="en-US"/>
        </w:rPr>
        <w:t xml:space="preserve">l and spiritual work. </w:t>
      </w:r>
    </w:p>
    <w:p w:rsidR="006A58BB" w:rsidRPr="00465F2B" w:rsidRDefault="006A58BB" w:rsidP="006A58BB">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The indicative plan was implemented in the automated information system </w:t>
      </w:r>
      <w:proofErr w:type="spellStart"/>
      <w:r w:rsidRPr="00465F2B">
        <w:rPr>
          <w:rFonts w:ascii="Times New Roman" w:hAnsi="Times New Roman" w:cs="Times New Roman"/>
          <w:sz w:val="24"/>
          <w:szCs w:val="24"/>
          <w:lang w:val="en-US"/>
        </w:rPr>
        <w:t>Univer</w:t>
      </w:r>
      <w:proofErr w:type="spellEnd"/>
      <w:r w:rsidRPr="00465F2B">
        <w:rPr>
          <w:rFonts w:ascii="Times New Roman" w:hAnsi="Times New Roman" w:cs="Times New Roman"/>
          <w:sz w:val="24"/>
          <w:szCs w:val="24"/>
          <w:lang w:val="en-US"/>
        </w:rPr>
        <w:t xml:space="preserve"> 2.0. The University teaching staff independently entered by login </w:t>
      </w:r>
      <w:proofErr w:type="gramStart"/>
      <w:r w:rsidRPr="00465F2B">
        <w:rPr>
          <w:rFonts w:ascii="Times New Roman" w:hAnsi="Times New Roman" w:cs="Times New Roman"/>
          <w:sz w:val="24"/>
          <w:szCs w:val="24"/>
          <w:lang w:val="en-US"/>
        </w:rPr>
        <w:t>password,</w:t>
      </w:r>
      <w:proofErr w:type="gramEnd"/>
      <w:r w:rsidRPr="00465F2B">
        <w:rPr>
          <w:rFonts w:ascii="Times New Roman" w:hAnsi="Times New Roman" w:cs="Times New Roman"/>
          <w:sz w:val="24"/>
          <w:szCs w:val="24"/>
          <w:lang w:val="en-US"/>
        </w:rPr>
        <w:t xml:space="preserve"> introduced their works on educational and methodological work, research and innovation work, social work, spiritual revival and educational work.</w:t>
      </w:r>
    </w:p>
    <w:p w:rsidR="006A58BB" w:rsidRPr="00465F2B" w:rsidRDefault="006A58BB" w:rsidP="006A58BB">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To determine the indicators of the indicative plan for evaluating the activities of the teaching staff according to the proposed indicators, the following work was carried out:</w:t>
      </w:r>
    </w:p>
    <w:p w:rsidR="006A58BB" w:rsidRPr="00465F2B" w:rsidRDefault="006A58BB" w:rsidP="00BF2E5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1. The indicative plan is developed in a special basic program for the purpose of automating the work by definition.</w:t>
      </w:r>
    </w:p>
    <w:p w:rsidR="006A58BB" w:rsidRPr="00465F2B" w:rsidRDefault="006A58BB" w:rsidP="00BF2E5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2. The database included reference data on the faculties, departments, teaching staff of the university with subsequent entry. </w:t>
      </w:r>
      <w:proofErr w:type="gramStart"/>
      <w:r w:rsidRPr="00465F2B">
        <w:rPr>
          <w:rFonts w:ascii="Times New Roman" w:hAnsi="Times New Roman" w:cs="Times New Roman"/>
          <w:sz w:val="24"/>
          <w:szCs w:val="24"/>
          <w:lang w:val="en-US"/>
        </w:rPr>
        <w:t>quantitative</w:t>
      </w:r>
      <w:proofErr w:type="gramEnd"/>
      <w:r w:rsidRPr="00465F2B">
        <w:rPr>
          <w:rFonts w:ascii="Times New Roman" w:hAnsi="Times New Roman" w:cs="Times New Roman"/>
          <w:sz w:val="24"/>
          <w:szCs w:val="24"/>
          <w:lang w:val="en-US"/>
        </w:rPr>
        <w:t xml:space="preserve"> data required to determine the rating of each teacher.</w:t>
      </w:r>
    </w:p>
    <w:p w:rsidR="006A58BB" w:rsidRPr="00465F2B" w:rsidRDefault="006A58BB" w:rsidP="00BF2E5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3. Scanned copies of motivated documents of the teaching staff have been checked.</w:t>
      </w:r>
    </w:p>
    <w:p w:rsidR="006A58BB" w:rsidRPr="00465F2B" w:rsidRDefault="006A58BB" w:rsidP="00BF2E5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4.</w:t>
      </w:r>
      <w:r w:rsidR="0030329A" w:rsidRPr="00465F2B">
        <w:rPr>
          <w:rFonts w:ascii="Times New Roman" w:hAnsi="Times New Roman" w:cs="Times New Roman"/>
          <w:sz w:val="24"/>
          <w:szCs w:val="24"/>
          <w:lang w:val="en-US"/>
        </w:rPr>
        <w:t xml:space="preserve"> </w:t>
      </w:r>
      <w:r w:rsidRPr="00465F2B">
        <w:rPr>
          <w:rFonts w:ascii="Times New Roman" w:hAnsi="Times New Roman" w:cs="Times New Roman"/>
          <w:sz w:val="24"/>
          <w:szCs w:val="24"/>
          <w:lang w:val="en-US"/>
        </w:rPr>
        <w:t>As a result of this work, indicative indicators of the activity of the teaching staff were automatically evaluated.</w:t>
      </w:r>
    </w:p>
    <w:p w:rsidR="006A58BB" w:rsidRPr="00465F2B" w:rsidRDefault="006A58BB" w:rsidP="00BF2E5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5. The final reports on the rating indicators for the university, faculty and department are automatically received.</w:t>
      </w:r>
    </w:p>
    <w:p w:rsidR="006A58BB" w:rsidRPr="00465F2B" w:rsidRDefault="006A58BB" w:rsidP="006A58BB">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During the analysis of the PPP rating indicators obtained for the university, the following data were revealed:</w:t>
      </w:r>
    </w:p>
    <w:p w:rsidR="006A58BB" w:rsidRPr="00465F2B" w:rsidRDefault="006A58BB" w:rsidP="006A58BB">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1. The highest indicator according to the PPP ratings is 1711 points (in the 2014-2015 academic year-562.5 points, in the 2015-2016 academic year – 970.5 points, in the 2016-2017 academic year - 1486.75 points, in the 2017-2018 academic year – 1908, in the 2018-2019 academic year - 1094 points, in the 2019-2020 academic year-1183.5); the minimum indicator is </w:t>
      </w:r>
      <w:r w:rsidR="00A75B4F">
        <w:rPr>
          <w:rFonts w:ascii="Times New Roman" w:hAnsi="Times New Roman" w:cs="Times New Roman"/>
          <w:sz w:val="24"/>
          <w:szCs w:val="24"/>
          <w:lang w:val="en-US"/>
        </w:rPr>
        <w:t>404</w:t>
      </w:r>
      <w:r w:rsidRPr="00465F2B">
        <w:rPr>
          <w:rFonts w:ascii="Times New Roman" w:hAnsi="Times New Roman" w:cs="Times New Roman"/>
          <w:sz w:val="24"/>
          <w:szCs w:val="24"/>
          <w:lang w:val="en-US"/>
        </w:rPr>
        <w:t xml:space="preserve"> points (in the 2014-2015 academic year-6 points, in the 2015-2016 academic year-8 points, in the 2016-2017 academic year-24 points, in the 2017-2018 academic year-51.5 points, in the 2018-2019 academic year-50.5 points, in the 2019-2020 academic year-50.5 points).</w:t>
      </w:r>
    </w:p>
    <w:p w:rsidR="006A58BB" w:rsidRPr="00465F2B" w:rsidRDefault="006A58BB" w:rsidP="006A58BB">
      <w:pPr>
        <w:jc w:val="both"/>
        <w:rPr>
          <w:rFonts w:ascii="Times New Roman" w:hAnsi="Times New Roman" w:cs="Times New Roman"/>
          <w:sz w:val="24"/>
          <w:szCs w:val="24"/>
          <w:lang w:val="en-US"/>
        </w:rPr>
      </w:pPr>
    </w:p>
    <w:p w:rsidR="006A58BB" w:rsidRPr="00465F2B" w:rsidRDefault="006A58BB" w:rsidP="006A58BB">
      <w:pPr>
        <w:jc w:val="both"/>
        <w:rPr>
          <w:rFonts w:ascii="Times New Roman" w:hAnsi="Times New Roman" w:cs="Times New Roman"/>
          <w:sz w:val="24"/>
          <w:szCs w:val="24"/>
          <w:lang w:val="en-US"/>
        </w:rPr>
      </w:pPr>
    </w:p>
    <w:p w:rsidR="00BF2E59" w:rsidRPr="00465F2B" w:rsidRDefault="00BF2E59" w:rsidP="006A58BB">
      <w:pPr>
        <w:jc w:val="both"/>
        <w:rPr>
          <w:rFonts w:ascii="Times New Roman" w:hAnsi="Times New Roman" w:cs="Times New Roman"/>
          <w:sz w:val="24"/>
          <w:szCs w:val="24"/>
          <w:lang w:val="en-US"/>
        </w:rPr>
      </w:pPr>
    </w:p>
    <w:p w:rsidR="00BF2E59" w:rsidRPr="00465F2B" w:rsidRDefault="00BF2E59" w:rsidP="006A58BB">
      <w:pPr>
        <w:jc w:val="both"/>
        <w:rPr>
          <w:rFonts w:ascii="Times New Roman" w:hAnsi="Times New Roman" w:cs="Times New Roman"/>
          <w:sz w:val="24"/>
          <w:szCs w:val="24"/>
          <w:lang w:val="en-US"/>
        </w:rPr>
      </w:pPr>
    </w:p>
    <w:p w:rsidR="00BF2E59" w:rsidRPr="00465F2B" w:rsidRDefault="00BF2E59" w:rsidP="006A58BB">
      <w:pPr>
        <w:jc w:val="both"/>
        <w:rPr>
          <w:rFonts w:ascii="Times New Roman" w:hAnsi="Times New Roman" w:cs="Times New Roman"/>
          <w:sz w:val="24"/>
          <w:szCs w:val="24"/>
          <w:lang w:val="en-US"/>
        </w:rPr>
      </w:pPr>
    </w:p>
    <w:p w:rsidR="006A58BB" w:rsidRPr="00465F2B" w:rsidRDefault="006A58BB" w:rsidP="006A58BB">
      <w:pPr>
        <w:jc w:val="both"/>
        <w:rPr>
          <w:rFonts w:ascii="Times New Roman" w:hAnsi="Times New Roman" w:cs="Times New Roman"/>
          <w:sz w:val="24"/>
          <w:szCs w:val="24"/>
          <w:lang w:val="en-US"/>
        </w:rPr>
      </w:pPr>
    </w:p>
    <w:p w:rsidR="0030329A" w:rsidRPr="00465F2B" w:rsidRDefault="0030329A" w:rsidP="0030329A">
      <w:pPr>
        <w:spacing w:after="0" w:line="240" w:lineRule="auto"/>
        <w:jc w:val="both"/>
        <w:rPr>
          <w:rFonts w:ascii="Times New Roman" w:hAnsi="Times New Roman" w:cs="Times New Roman"/>
          <w:b/>
          <w:sz w:val="24"/>
          <w:szCs w:val="24"/>
          <w:lang w:val="en-US"/>
        </w:rPr>
      </w:pPr>
      <w:r w:rsidRPr="00465F2B">
        <w:rPr>
          <w:rFonts w:ascii="Times New Roman" w:hAnsi="Times New Roman" w:cs="Times New Roman"/>
          <w:b/>
          <w:sz w:val="24"/>
          <w:szCs w:val="24"/>
          <w:lang w:val="en-US"/>
        </w:rPr>
        <w:lastRenderedPageBreak/>
        <w:t>Participation of teaching staff in the indicative rating of the university in 2020-2021 (%)</w:t>
      </w:r>
    </w:p>
    <w:p w:rsidR="0030329A" w:rsidRPr="00465F2B" w:rsidRDefault="0030329A" w:rsidP="0030329A">
      <w:pPr>
        <w:spacing w:after="0" w:line="240" w:lineRule="auto"/>
        <w:jc w:val="both"/>
        <w:rPr>
          <w:rFonts w:ascii="Times New Roman" w:hAnsi="Times New Roman" w:cs="Times New Roman"/>
          <w:b/>
          <w:sz w:val="24"/>
          <w:szCs w:val="24"/>
          <w:lang w:val="en-US"/>
        </w:rPr>
      </w:pPr>
    </w:p>
    <w:p w:rsidR="00EF1590" w:rsidRPr="00465F2B" w:rsidRDefault="0030329A" w:rsidP="0030329A">
      <w:pPr>
        <w:spacing w:after="0" w:line="240" w:lineRule="auto"/>
        <w:jc w:val="center"/>
        <w:rPr>
          <w:rFonts w:ascii="Times New Roman" w:hAnsi="Times New Roman" w:cs="Times New Roman"/>
          <w:b/>
          <w:sz w:val="24"/>
          <w:szCs w:val="24"/>
        </w:rPr>
      </w:pPr>
      <w:r w:rsidRPr="00465F2B">
        <w:rPr>
          <w:noProof/>
          <w:sz w:val="24"/>
          <w:szCs w:val="24"/>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1590" w:rsidRPr="00465F2B" w:rsidRDefault="00EF1590" w:rsidP="00EF1590">
      <w:pPr>
        <w:jc w:val="both"/>
        <w:rPr>
          <w:rFonts w:ascii="Times New Roman" w:hAnsi="Times New Roman" w:cs="Times New Roman"/>
          <w:sz w:val="24"/>
          <w:szCs w:val="24"/>
        </w:rPr>
      </w:pPr>
    </w:p>
    <w:p w:rsidR="00EF1590" w:rsidRPr="00465F2B" w:rsidRDefault="00EF1590" w:rsidP="00EF1590">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2. The first 10 teachers with a high rating have been identified</w:t>
      </w:r>
    </w:p>
    <w:tbl>
      <w:tblPr>
        <w:tblStyle w:val="a6"/>
        <w:tblW w:w="9591" w:type="dxa"/>
        <w:jc w:val="center"/>
        <w:tblInd w:w="3749" w:type="dxa"/>
        <w:tblLook w:val="04A0" w:firstRow="1" w:lastRow="0" w:firstColumn="1" w:lastColumn="0" w:noHBand="0" w:noVBand="1"/>
      </w:tblPr>
      <w:tblGrid>
        <w:gridCol w:w="968"/>
        <w:gridCol w:w="3187"/>
        <w:gridCol w:w="4252"/>
        <w:gridCol w:w="1184"/>
      </w:tblGrid>
      <w:tr w:rsidR="00EF1590" w:rsidRPr="00465F2B" w:rsidTr="00EE41AC">
        <w:trPr>
          <w:jc w:val="center"/>
        </w:trPr>
        <w:tc>
          <w:tcPr>
            <w:tcW w:w="968" w:type="dxa"/>
          </w:tcPr>
          <w:p w:rsidR="00EF1590" w:rsidRPr="00465F2B" w:rsidRDefault="00EF1590" w:rsidP="00EE41AC">
            <w:pPr>
              <w:pStyle w:val="a5"/>
              <w:jc w:val="both"/>
              <w:rPr>
                <w:rFonts w:ascii="Times New Roman" w:hAnsi="Times New Roman" w:cs="Times New Roman"/>
                <w:b/>
                <w:sz w:val="24"/>
                <w:szCs w:val="24"/>
                <w:lang w:val="kk-KZ"/>
              </w:rPr>
            </w:pPr>
            <w:r w:rsidRPr="00465F2B">
              <w:rPr>
                <w:rFonts w:ascii="Times New Roman" w:hAnsi="Times New Roman" w:cs="Times New Roman"/>
                <w:b/>
                <w:sz w:val="24"/>
                <w:szCs w:val="24"/>
                <w:lang w:val="kk-KZ"/>
              </w:rPr>
              <w:t>№</w:t>
            </w:r>
          </w:p>
        </w:tc>
        <w:tc>
          <w:tcPr>
            <w:tcW w:w="3187" w:type="dxa"/>
          </w:tcPr>
          <w:p w:rsidR="00EF1590" w:rsidRPr="00465F2B" w:rsidRDefault="00EF1590" w:rsidP="00EE41AC">
            <w:pPr>
              <w:pStyle w:val="a5"/>
              <w:jc w:val="center"/>
              <w:rPr>
                <w:rFonts w:ascii="Times New Roman" w:hAnsi="Times New Roman" w:cs="Times New Roman"/>
                <w:b/>
                <w:sz w:val="24"/>
                <w:szCs w:val="24"/>
              </w:rPr>
            </w:pPr>
            <w:r w:rsidRPr="00465F2B">
              <w:rPr>
                <w:rFonts w:ascii="Times New Roman" w:hAnsi="Times New Roman" w:cs="Times New Roman"/>
                <w:b/>
                <w:sz w:val="24"/>
                <w:szCs w:val="24"/>
              </w:rPr>
              <w:t>L.N. F.N., P.</w:t>
            </w:r>
          </w:p>
        </w:tc>
        <w:tc>
          <w:tcPr>
            <w:tcW w:w="4252" w:type="dxa"/>
          </w:tcPr>
          <w:p w:rsidR="00EF1590" w:rsidRPr="00465F2B" w:rsidRDefault="00C422EA" w:rsidP="00EE41AC">
            <w:pPr>
              <w:pStyle w:val="a5"/>
              <w:jc w:val="center"/>
              <w:rPr>
                <w:rFonts w:ascii="Times New Roman" w:hAnsi="Times New Roman" w:cs="Times New Roman"/>
                <w:b/>
                <w:sz w:val="24"/>
                <w:szCs w:val="24"/>
                <w:lang w:val="kk-KZ"/>
              </w:rPr>
            </w:pPr>
            <w:r w:rsidRPr="00465F2B">
              <w:rPr>
                <w:rFonts w:ascii="Times New Roman" w:hAnsi="Times New Roman" w:cs="Times New Roman"/>
                <w:b/>
                <w:sz w:val="24"/>
                <w:szCs w:val="24"/>
                <w:lang w:val="kk-KZ"/>
              </w:rPr>
              <w:t>Position at the D</w:t>
            </w:r>
            <w:r w:rsidR="00EF1590" w:rsidRPr="00465F2B">
              <w:rPr>
                <w:rFonts w:ascii="Times New Roman" w:hAnsi="Times New Roman" w:cs="Times New Roman"/>
                <w:b/>
                <w:sz w:val="24"/>
                <w:szCs w:val="24"/>
                <w:lang w:val="kk-KZ"/>
              </w:rPr>
              <w:t>epartment</w:t>
            </w:r>
          </w:p>
        </w:tc>
        <w:tc>
          <w:tcPr>
            <w:tcW w:w="1184" w:type="dxa"/>
          </w:tcPr>
          <w:p w:rsidR="00EF1590" w:rsidRPr="00465F2B" w:rsidRDefault="00EF1590" w:rsidP="00EE41AC">
            <w:pPr>
              <w:pStyle w:val="a5"/>
              <w:jc w:val="center"/>
              <w:rPr>
                <w:rFonts w:ascii="Times New Roman" w:hAnsi="Times New Roman" w:cs="Times New Roman"/>
                <w:b/>
                <w:sz w:val="24"/>
                <w:szCs w:val="24"/>
                <w:lang w:val="kk-KZ"/>
              </w:rPr>
            </w:pPr>
            <w:r w:rsidRPr="00465F2B">
              <w:rPr>
                <w:rFonts w:ascii="Times New Roman" w:hAnsi="Times New Roman" w:cs="Times New Roman"/>
                <w:b/>
                <w:sz w:val="24"/>
                <w:szCs w:val="24"/>
                <w:lang w:val="kk-KZ"/>
              </w:rPr>
              <w:t>score</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1</w:t>
            </w:r>
          </w:p>
        </w:tc>
        <w:tc>
          <w:tcPr>
            <w:tcW w:w="3187" w:type="dxa"/>
          </w:tcPr>
          <w:p w:rsidR="00EF1590" w:rsidRPr="00465F2B" w:rsidRDefault="00EF1590"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Kadirbaeva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Roza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Iztleuovna</w:t>
            </w:r>
            <w:proofErr w:type="spellEnd"/>
          </w:p>
        </w:tc>
        <w:tc>
          <w:tcPr>
            <w:tcW w:w="4252" w:type="dxa"/>
          </w:tcPr>
          <w:p w:rsidR="00EF1590" w:rsidRPr="00465F2B" w:rsidRDefault="00EF1590" w:rsidP="00EE41AC">
            <w:pP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 xml:space="preserve">Head of the Department of Mathematics, </w:t>
            </w:r>
            <w:r w:rsidRPr="00465F2B">
              <w:rPr>
                <w:rFonts w:ascii="Times New Roman" w:eastAsia="Times New Roman" w:hAnsi="Times New Roman" w:cs="Times New Roman"/>
                <w:color w:val="000000"/>
                <w:sz w:val="24"/>
                <w:szCs w:val="24"/>
                <w:lang w:val="kk-KZ"/>
              </w:rPr>
              <w:t>Professor of the Department of Mathematics</w:t>
            </w:r>
            <w:r w:rsidR="00177F8C" w:rsidRPr="00465F2B">
              <w:rPr>
                <w:rFonts w:ascii="Times New Roman" w:eastAsia="Times New Roman" w:hAnsi="Times New Roman" w:cs="Times New Roman"/>
                <w:color w:val="000000"/>
                <w:sz w:val="24"/>
                <w:szCs w:val="24"/>
                <w:lang w:val="kk-KZ"/>
              </w:rPr>
              <w:t>, Professor</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1711</w:t>
            </w:r>
          </w:p>
        </w:tc>
      </w:tr>
      <w:tr w:rsidR="00EF1590" w:rsidRPr="00465F2B" w:rsidTr="00EE41AC">
        <w:trPr>
          <w:trHeight w:val="414"/>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2</w:t>
            </w:r>
          </w:p>
        </w:tc>
        <w:tc>
          <w:tcPr>
            <w:tcW w:w="3187" w:type="dxa"/>
          </w:tcPr>
          <w:p w:rsidR="00EF1590" w:rsidRPr="00465F2B" w:rsidRDefault="00EF1590" w:rsidP="00EE41AC">
            <w:pPr>
              <w:rPr>
                <w:rFonts w:ascii="Times New Roman" w:eastAsia="Times New Roman" w:hAnsi="Times New Roman" w:cs="Times New Roman"/>
                <w:color w:val="000000"/>
                <w:sz w:val="24"/>
                <w:szCs w:val="24"/>
                <w:lang w:val="ru-RU"/>
              </w:rPr>
            </w:pPr>
            <w:proofErr w:type="spellStart"/>
            <w:r w:rsidRPr="00465F2B">
              <w:rPr>
                <w:rFonts w:ascii="Times New Roman" w:eastAsia="Times New Roman" w:hAnsi="Times New Roman" w:cs="Times New Roman"/>
                <w:color w:val="000000"/>
                <w:sz w:val="24"/>
                <w:szCs w:val="24"/>
                <w:lang w:val="ru-RU"/>
              </w:rPr>
              <w:t>Imanbayev</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Nurlan</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Sairamovich</w:t>
            </w:r>
            <w:proofErr w:type="spellEnd"/>
          </w:p>
        </w:tc>
        <w:tc>
          <w:tcPr>
            <w:tcW w:w="4252" w:type="dxa"/>
          </w:tcPr>
          <w:p w:rsidR="00EF1590" w:rsidRPr="00465F2B" w:rsidRDefault="00EF1590" w:rsidP="00EE41AC">
            <w:pP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Professor of th</w:t>
            </w:r>
            <w:r w:rsidR="00177F8C" w:rsidRPr="00465F2B">
              <w:rPr>
                <w:rFonts w:ascii="Times New Roman" w:eastAsia="Times New Roman" w:hAnsi="Times New Roman" w:cs="Times New Roman"/>
                <w:color w:val="000000"/>
                <w:sz w:val="24"/>
                <w:szCs w:val="24"/>
                <w:lang w:val="kk-KZ"/>
              </w:rPr>
              <w:t>e Department of Mathematics, Professor</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rPr>
              <w:t>12</w:t>
            </w:r>
            <w:r w:rsidRPr="00465F2B">
              <w:rPr>
                <w:rFonts w:ascii="Times New Roman" w:eastAsia="Times New Roman" w:hAnsi="Times New Roman" w:cs="Times New Roman"/>
                <w:color w:val="000000"/>
                <w:sz w:val="24"/>
                <w:szCs w:val="24"/>
                <w:lang w:val="kk-KZ"/>
              </w:rPr>
              <w:t>58</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3</w:t>
            </w:r>
          </w:p>
        </w:tc>
        <w:tc>
          <w:tcPr>
            <w:tcW w:w="3187" w:type="dxa"/>
          </w:tcPr>
          <w:p w:rsidR="00EF1590" w:rsidRPr="00465F2B" w:rsidRDefault="00EF1590" w:rsidP="00EE41AC">
            <w:pPr>
              <w:rPr>
                <w:rFonts w:ascii="Times New Roman" w:eastAsia="Times New Roman" w:hAnsi="Times New Roman" w:cs="Times New Roman"/>
                <w:color w:val="000000"/>
                <w:sz w:val="24"/>
                <w:szCs w:val="24"/>
                <w:lang w:val="ru-RU"/>
              </w:rPr>
            </w:pPr>
            <w:proofErr w:type="spellStart"/>
            <w:r w:rsidRPr="00465F2B">
              <w:rPr>
                <w:rFonts w:ascii="Times New Roman" w:eastAsia="Times New Roman" w:hAnsi="Times New Roman" w:cs="Times New Roman"/>
                <w:color w:val="000000"/>
                <w:sz w:val="24"/>
                <w:szCs w:val="24"/>
                <w:lang w:val="ru-RU"/>
              </w:rPr>
              <w:t>Nurimanov</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Bekarys</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Tlegenovich</w:t>
            </w:r>
            <w:proofErr w:type="spellEnd"/>
          </w:p>
        </w:tc>
        <w:tc>
          <w:tcPr>
            <w:tcW w:w="4252" w:type="dxa"/>
          </w:tcPr>
          <w:p w:rsidR="00EF1590" w:rsidRPr="00465F2B" w:rsidRDefault="00EF1590" w:rsidP="00EE41AC">
            <w:pP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Senior lecturer of the Department of the Kazakh language, PhD</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1255</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4</w:t>
            </w:r>
          </w:p>
        </w:tc>
        <w:tc>
          <w:tcPr>
            <w:tcW w:w="3187" w:type="dxa"/>
          </w:tcPr>
          <w:p w:rsidR="00EF1590" w:rsidRPr="00465F2B" w:rsidRDefault="00EF1590" w:rsidP="00EE41AC">
            <w:pPr>
              <w:rPr>
                <w:rFonts w:ascii="Times New Roman" w:eastAsia="Times New Roman" w:hAnsi="Times New Roman" w:cs="Times New Roman"/>
                <w:color w:val="000000"/>
                <w:sz w:val="24"/>
                <w:szCs w:val="24"/>
                <w:lang w:val="ru-RU"/>
              </w:rPr>
            </w:pPr>
            <w:proofErr w:type="spellStart"/>
            <w:r w:rsidRPr="00465F2B">
              <w:rPr>
                <w:rFonts w:ascii="Times New Roman" w:eastAsia="Times New Roman" w:hAnsi="Times New Roman" w:cs="Times New Roman"/>
                <w:color w:val="000000"/>
                <w:sz w:val="24"/>
                <w:szCs w:val="24"/>
              </w:rPr>
              <w:t>Masalieva</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Zhanar</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Amalbayevna</w:t>
            </w:r>
            <w:proofErr w:type="spellEnd"/>
          </w:p>
        </w:tc>
        <w:tc>
          <w:tcPr>
            <w:tcW w:w="4252" w:type="dxa"/>
          </w:tcPr>
          <w:p w:rsidR="00EF1590" w:rsidRPr="00465F2B" w:rsidRDefault="00EF1590" w:rsidP="00EF1590">
            <w:pP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Head of the Department of Preschool</w:t>
            </w:r>
          </w:p>
          <w:p w:rsidR="00EF1590" w:rsidRPr="00465F2B" w:rsidRDefault="00EF1590" w:rsidP="00EF1590">
            <w:pP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and Special Pedagogy,</w:t>
            </w:r>
          </w:p>
          <w:p w:rsidR="00EF1590" w:rsidRPr="00465F2B" w:rsidRDefault="00EF1590" w:rsidP="00EF1590">
            <w:pP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Ph. D., Associate Professor</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1240</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5</w:t>
            </w:r>
          </w:p>
        </w:tc>
        <w:tc>
          <w:tcPr>
            <w:tcW w:w="3187" w:type="dxa"/>
          </w:tcPr>
          <w:p w:rsidR="00177F8C" w:rsidRPr="00465F2B" w:rsidRDefault="00177F8C" w:rsidP="00EE41AC">
            <w:pPr>
              <w:rPr>
                <w:rFonts w:ascii="Times New Roman" w:eastAsia="Times New Roman" w:hAnsi="Times New Roman" w:cs="Times New Roman"/>
                <w:color w:val="000000"/>
                <w:sz w:val="24"/>
                <w:szCs w:val="24"/>
                <w:lang w:val="ru-RU"/>
              </w:rPr>
            </w:pPr>
            <w:proofErr w:type="spellStart"/>
            <w:r w:rsidRPr="00465F2B">
              <w:rPr>
                <w:rFonts w:ascii="Times New Roman" w:eastAsia="Times New Roman" w:hAnsi="Times New Roman" w:cs="Times New Roman"/>
                <w:color w:val="000000"/>
                <w:sz w:val="24"/>
                <w:szCs w:val="24"/>
              </w:rPr>
              <w:t>Oralbekova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Aliya</w:t>
            </w:r>
            <w:proofErr w:type="spellEnd"/>
            <w:r w:rsidRPr="00465F2B">
              <w:rPr>
                <w:rFonts w:ascii="Times New Roman" w:eastAsia="Times New Roman" w:hAnsi="Times New Roman" w:cs="Times New Roman"/>
                <w:color w:val="000000"/>
                <w:sz w:val="24"/>
                <w:szCs w:val="24"/>
              </w:rPr>
              <w:t xml:space="preserve"> </w:t>
            </w:r>
          </w:p>
          <w:p w:rsidR="00EF1590" w:rsidRPr="00465F2B" w:rsidRDefault="00177F8C"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Kurbanovna</w:t>
            </w:r>
            <w:proofErr w:type="spellEnd"/>
          </w:p>
        </w:tc>
        <w:tc>
          <w:tcPr>
            <w:tcW w:w="4252" w:type="dxa"/>
          </w:tcPr>
          <w:p w:rsidR="00EF1590" w:rsidRPr="00465F2B" w:rsidRDefault="00177F8C" w:rsidP="00EE41AC">
            <w:pP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Senior Lecturer of the Department of Pedagogy, PhD</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1240</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6</w:t>
            </w:r>
          </w:p>
        </w:tc>
        <w:tc>
          <w:tcPr>
            <w:tcW w:w="3187" w:type="dxa"/>
          </w:tcPr>
          <w:p w:rsidR="00EF1590" w:rsidRPr="00465F2B" w:rsidRDefault="00177F8C"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Jamankaraeva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Madina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Aldanovna</w:t>
            </w:r>
            <w:proofErr w:type="spellEnd"/>
          </w:p>
        </w:tc>
        <w:tc>
          <w:tcPr>
            <w:tcW w:w="4252" w:type="dxa"/>
          </w:tcPr>
          <w:p w:rsidR="00EF1590" w:rsidRPr="00465F2B" w:rsidRDefault="00177F8C" w:rsidP="00EE41AC">
            <w:pP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Senior lecturer of the Department of Mathematics, Ph.D.</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lang w:val="ru-RU"/>
              </w:rPr>
            </w:pPr>
            <w:r w:rsidRPr="00465F2B">
              <w:rPr>
                <w:rFonts w:ascii="Times New Roman" w:eastAsia="Times New Roman" w:hAnsi="Times New Roman" w:cs="Times New Roman"/>
                <w:color w:val="000000"/>
                <w:sz w:val="24"/>
                <w:szCs w:val="24"/>
                <w:lang w:val="ru-RU"/>
              </w:rPr>
              <w:t>1238</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7</w:t>
            </w:r>
          </w:p>
        </w:tc>
        <w:tc>
          <w:tcPr>
            <w:tcW w:w="3187" w:type="dxa"/>
          </w:tcPr>
          <w:p w:rsidR="00EF1590" w:rsidRPr="00465F2B" w:rsidRDefault="00177F8C" w:rsidP="00EE41AC">
            <w:pP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Bitemirova Aliya Yerkegulovna</w:t>
            </w:r>
          </w:p>
        </w:tc>
        <w:tc>
          <w:tcPr>
            <w:tcW w:w="4252" w:type="dxa"/>
          </w:tcPr>
          <w:p w:rsidR="00EF1590" w:rsidRPr="00465F2B" w:rsidRDefault="00177F8C" w:rsidP="00EE41AC">
            <w:pP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Associate Professor of the Department of Chemistry, Ph.D.</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lang w:val="ru-RU"/>
              </w:rPr>
            </w:pPr>
            <w:r w:rsidRPr="00465F2B">
              <w:rPr>
                <w:rFonts w:ascii="Times New Roman" w:eastAsia="Times New Roman" w:hAnsi="Times New Roman" w:cs="Times New Roman"/>
                <w:color w:val="000000"/>
                <w:sz w:val="24"/>
                <w:szCs w:val="24"/>
                <w:lang w:val="ru-RU"/>
              </w:rPr>
              <w:t>1219</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8</w:t>
            </w:r>
          </w:p>
        </w:tc>
        <w:tc>
          <w:tcPr>
            <w:tcW w:w="3187" w:type="dxa"/>
          </w:tcPr>
          <w:p w:rsidR="00EF1590" w:rsidRPr="00465F2B" w:rsidRDefault="00177F8C" w:rsidP="00EE41AC">
            <w:pPr>
              <w:rPr>
                <w:rFonts w:ascii="Times New Roman" w:eastAsia="Times New Roman" w:hAnsi="Times New Roman" w:cs="Times New Roman"/>
                <w:color w:val="000000"/>
                <w:sz w:val="24"/>
                <w:szCs w:val="24"/>
                <w:lang w:val="ru-RU"/>
              </w:rPr>
            </w:pPr>
            <w:proofErr w:type="spellStart"/>
            <w:r w:rsidRPr="00465F2B">
              <w:rPr>
                <w:rFonts w:ascii="Times New Roman" w:eastAsia="Times New Roman" w:hAnsi="Times New Roman" w:cs="Times New Roman"/>
                <w:color w:val="000000"/>
                <w:sz w:val="24"/>
                <w:szCs w:val="24"/>
                <w:lang w:val="ru-RU"/>
              </w:rPr>
              <w:t>Madybekova</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Galiya</w:t>
            </w:r>
            <w:proofErr w:type="spellEnd"/>
            <w:r w:rsidRPr="00465F2B">
              <w:rPr>
                <w:rFonts w:ascii="Times New Roman" w:eastAsia="Times New Roman" w:hAnsi="Times New Roman" w:cs="Times New Roman"/>
                <w:color w:val="000000"/>
                <w:sz w:val="24"/>
                <w:szCs w:val="24"/>
                <w:lang w:val="ru-RU"/>
              </w:rPr>
              <w:t xml:space="preserve"> </w:t>
            </w:r>
            <w:proofErr w:type="spellStart"/>
            <w:r w:rsidRPr="00465F2B">
              <w:rPr>
                <w:rFonts w:ascii="Times New Roman" w:eastAsia="Times New Roman" w:hAnsi="Times New Roman" w:cs="Times New Roman"/>
                <w:color w:val="000000"/>
                <w:sz w:val="24"/>
                <w:szCs w:val="24"/>
                <w:lang w:val="ru-RU"/>
              </w:rPr>
              <w:t>Mutalievna</w:t>
            </w:r>
            <w:proofErr w:type="spellEnd"/>
          </w:p>
        </w:tc>
        <w:tc>
          <w:tcPr>
            <w:tcW w:w="4252" w:type="dxa"/>
          </w:tcPr>
          <w:p w:rsidR="00EF1590" w:rsidRPr="00465F2B" w:rsidRDefault="00177F8C" w:rsidP="00EE41AC">
            <w:pPr>
              <w:rPr>
                <w:rFonts w:ascii="Times New Roman" w:eastAsia="Times New Roman" w:hAnsi="Times New Roman" w:cs="Times New Roman"/>
                <w:color w:val="000000"/>
                <w:sz w:val="24"/>
                <w:szCs w:val="24"/>
                <w:lang w:val="ru-RU"/>
              </w:rPr>
            </w:pPr>
            <w:r w:rsidRPr="00465F2B">
              <w:rPr>
                <w:rFonts w:ascii="Times New Roman" w:eastAsia="Times New Roman" w:hAnsi="Times New Roman" w:cs="Times New Roman"/>
                <w:color w:val="000000"/>
                <w:sz w:val="24"/>
                <w:szCs w:val="24"/>
              </w:rPr>
              <w:t xml:space="preserve">Acting Professor of the Department of Chemistry, Ph. </w:t>
            </w:r>
            <w:r w:rsidRPr="00465F2B">
              <w:rPr>
                <w:rFonts w:ascii="Times New Roman" w:eastAsia="Times New Roman" w:hAnsi="Times New Roman" w:cs="Times New Roman"/>
                <w:color w:val="000000"/>
                <w:sz w:val="24"/>
                <w:szCs w:val="24"/>
                <w:lang w:val="ru-RU"/>
              </w:rPr>
              <w:t>D</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rPr>
            </w:pPr>
            <w:r w:rsidRPr="00465F2B">
              <w:rPr>
                <w:rFonts w:ascii="Times New Roman" w:eastAsia="Times New Roman" w:hAnsi="Times New Roman" w:cs="Times New Roman"/>
                <w:color w:val="000000"/>
                <w:sz w:val="24"/>
                <w:szCs w:val="24"/>
              </w:rPr>
              <w:t>1194</w:t>
            </w:r>
          </w:p>
        </w:tc>
      </w:tr>
      <w:tr w:rsidR="00EF1590" w:rsidRPr="00465F2B" w:rsidTr="00EE41AC">
        <w:trPr>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9</w:t>
            </w:r>
          </w:p>
        </w:tc>
        <w:tc>
          <w:tcPr>
            <w:tcW w:w="3187" w:type="dxa"/>
          </w:tcPr>
          <w:p w:rsidR="00EF1590" w:rsidRPr="00465F2B" w:rsidRDefault="00177F8C"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Isabek</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Barshagul</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Kashkynkyzy</w:t>
            </w:r>
            <w:proofErr w:type="spellEnd"/>
          </w:p>
        </w:tc>
        <w:tc>
          <w:tcPr>
            <w:tcW w:w="4252" w:type="dxa"/>
          </w:tcPr>
          <w:p w:rsidR="00177F8C" w:rsidRPr="00465F2B" w:rsidRDefault="00177F8C" w:rsidP="00177F8C">
            <w:pPr>
              <w:pStyle w:val="a5"/>
              <w:rPr>
                <w:rFonts w:ascii="Times New Roman" w:eastAsia="Times New Roman" w:hAnsi="Times New Roman" w:cs="Times New Roman"/>
                <w:sz w:val="24"/>
                <w:szCs w:val="24"/>
                <w:lang w:val="kk-KZ"/>
              </w:rPr>
            </w:pPr>
            <w:r w:rsidRPr="00465F2B">
              <w:rPr>
                <w:rFonts w:ascii="Times New Roman" w:eastAsia="Times New Roman" w:hAnsi="Times New Roman" w:cs="Times New Roman"/>
                <w:sz w:val="24"/>
                <w:szCs w:val="24"/>
                <w:lang w:val="kk-KZ"/>
              </w:rPr>
              <w:t>Vice-rector for Academic and</w:t>
            </w:r>
          </w:p>
          <w:p w:rsidR="00EF1590" w:rsidRPr="00465F2B" w:rsidRDefault="00177F8C" w:rsidP="00177F8C">
            <w:pPr>
              <w:pStyle w:val="a5"/>
              <w:rPr>
                <w:rFonts w:ascii="Times New Roman" w:eastAsia="Times New Roman" w:hAnsi="Times New Roman" w:cs="Times New Roman"/>
                <w:sz w:val="24"/>
                <w:szCs w:val="24"/>
              </w:rPr>
            </w:pPr>
            <w:r w:rsidRPr="00465F2B">
              <w:rPr>
                <w:rFonts w:ascii="Times New Roman" w:eastAsia="Times New Roman" w:hAnsi="Times New Roman" w:cs="Times New Roman"/>
                <w:sz w:val="24"/>
                <w:szCs w:val="24"/>
                <w:lang w:val="kk-KZ"/>
              </w:rPr>
              <w:t xml:space="preserve">Methodological Work, </w:t>
            </w:r>
            <w:r w:rsidRPr="00465F2B">
              <w:rPr>
                <w:rFonts w:ascii="Times New Roman" w:eastAsia="Times New Roman" w:hAnsi="Times New Roman" w:cs="Times New Roman"/>
                <w:color w:val="000000"/>
                <w:sz w:val="24"/>
                <w:szCs w:val="24"/>
              </w:rPr>
              <w:t>Acting Professor</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rPr>
              <w:t>11</w:t>
            </w:r>
            <w:r w:rsidRPr="00465F2B">
              <w:rPr>
                <w:rFonts w:ascii="Times New Roman" w:eastAsia="Times New Roman" w:hAnsi="Times New Roman" w:cs="Times New Roman"/>
                <w:color w:val="000000"/>
                <w:sz w:val="24"/>
                <w:szCs w:val="24"/>
                <w:lang w:val="kk-KZ"/>
              </w:rPr>
              <w:t>80</w:t>
            </w:r>
          </w:p>
        </w:tc>
      </w:tr>
      <w:tr w:rsidR="00EF1590" w:rsidRPr="00465F2B" w:rsidTr="00A1434D">
        <w:trPr>
          <w:trHeight w:val="126"/>
          <w:jc w:val="center"/>
        </w:trPr>
        <w:tc>
          <w:tcPr>
            <w:tcW w:w="968" w:type="dxa"/>
          </w:tcPr>
          <w:p w:rsidR="00EF1590" w:rsidRPr="00465F2B" w:rsidRDefault="00EF1590" w:rsidP="00EE41AC">
            <w:pPr>
              <w:pStyle w:val="a5"/>
              <w:rPr>
                <w:rFonts w:ascii="Times New Roman" w:hAnsi="Times New Roman" w:cs="Times New Roman"/>
                <w:sz w:val="24"/>
                <w:szCs w:val="24"/>
                <w:lang w:val="kk-KZ"/>
              </w:rPr>
            </w:pPr>
            <w:r w:rsidRPr="00465F2B">
              <w:rPr>
                <w:rFonts w:ascii="Times New Roman" w:hAnsi="Times New Roman" w:cs="Times New Roman"/>
                <w:sz w:val="24"/>
                <w:szCs w:val="24"/>
                <w:lang w:val="kk-KZ"/>
              </w:rPr>
              <w:t>10</w:t>
            </w:r>
          </w:p>
        </w:tc>
        <w:tc>
          <w:tcPr>
            <w:tcW w:w="3187" w:type="dxa"/>
          </w:tcPr>
          <w:p w:rsidR="00EF1590" w:rsidRPr="00465F2B" w:rsidRDefault="0008546E"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Mynbaeva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Akbilek</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Pazylkhanovna</w:t>
            </w:r>
            <w:proofErr w:type="spellEnd"/>
          </w:p>
        </w:tc>
        <w:tc>
          <w:tcPr>
            <w:tcW w:w="4252" w:type="dxa"/>
          </w:tcPr>
          <w:p w:rsidR="00EF1590" w:rsidRPr="00465F2B" w:rsidRDefault="0008546E" w:rsidP="00EE41AC">
            <w:pPr>
              <w:spacing w:line="195" w:lineRule="atLeast"/>
              <w:rPr>
                <w:rFonts w:ascii="Times New Roman" w:hAnsi="Times New Roman" w:cs="Times New Roman"/>
                <w:sz w:val="24"/>
                <w:szCs w:val="24"/>
              </w:rPr>
            </w:pPr>
            <w:r w:rsidRPr="00465F2B">
              <w:rPr>
                <w:rFonts w:ascii="Times New Roman" w:hAnsi="Times New Roman" w:cs="Times New Roman"/>
                <w:sz w:val="24"/>
                <w:szCs w:val="24"/>
                <w:lang w:val="kk-KZ"/>
              </w:rPr>
              <w:t>Scientific Secretary, PhD of the Kazakh Language Department</w:t>
            </w:r>
          </w:p>
        </w:tc>
        <w:tc>
          <w:tcPr>
            <w:tcW w:w="1184" w:type="dxa"/>
          </w:tcPr>
          <w:p w:rsidR="00EF1590" w:rsidRPr="00465F2B" w:rsidRDefault="00EF1590" w:rsidP="00EE41AC">
            <w:pPr>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rPr>
              <w:t>1058</w:t>
            </w:r>
          </w:p>
        </w:tc>
      </w:tr>
    </w:tbl>
    <w:p w:rsidR="00EF1590" w:rsidRPr="00465F2B" w:rsidRDefault="00EF1590" w:rsidP="00563429">
      <w:pPr>
        <w:spacing w:after="0" w:line="240" w:lineRule="auto"/>
        <w:jc w:val="both"/>
        <w:rPr>
          <w:rFonts w:ascii="Times New Roman" w:hAnsi="Times New Roman" w:cs="Times New Roman"/>
          <w:sz w:val="24"/>
          <w:szCs w:val="24"/>
        </w:rPr>
      </w:pPr>
    </w:p>
    <w:p w:rsidR="00563429" w:rsidRPr="00465F2B" w:rsidRDefault="00563429" w:rsidP="00563429">
      <w:pPr>
        <w:spacing w:after="0" w:line="240" w:lineRule="auto"/>
        <w:ind w:firstLine="708"/>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The indicator of the rating of teachers who entered the top ten in the 2019-2020 academic </w:t>
      </w:r>
      <w:proofErr w:type="gramStart"/>
      <w:r w:rsidRPr="00465F2B">
        <w:rPr>
          <w:rFonts w:ascii="Times New Roman" w:hAnsi="Times New Roman" w:cs="Times New Roman"/>
          <w:sz w:val="24"/>
          <w:szCs w:val="24"/>
          <w:lang w:val="en-US"/>
        </w:rPr>
        <w:t>year</w:t>
      </w:r>
      <w:proofErr w:type="gramEnd"/>
      <w:r w:rsidRPr="00465F2B">
        <w:rPr>
          <w:rFonts w:ascii="Times New Roman" w:hAnsi="Times New Roman" w:cs="Times New Roman"/>
          <w:sz w:val="24"/>
          <w:szCs w:val="24"/>
          <w:lang w:val="en-US"/>
        </w:rPr>
        <w:t xml:space="preserve"> was the highest 1183.5 points, this year-1711 points.</w:t>
      </w:r>
    </w:p>
    <w:p w:rsidR="00563429" w:rsidRPr="00465F2B" w:rsidRDefault="00563429" w:rsidP="0056342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Among them are Professor of the Department of Mathematics </w:t>
      </w:r>
      <w:proofErr w:type="spellStart"/>
      <w:r w:rsidRPr="00465F2B">
        <w:rPr>
          <w:rFonts w:ascii="Times New Roman" w:hAnsi="Times New Roman" w:cs="Times New Roman"/>
          <w:sz w:val="24"/>
          <w:szCs w:val="24"/>
          <w:lang w:val="en-US"/>
        </w:rPr>
        <w:t>Nurlan</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Sairamovich</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Imanbayev</w:t>
      </w:r>
      <w:proofErr w:type="spellEnd"/>
      <w:r w:rsidRPr="00465F2B">
        <w:rPr>
          <w:rFonts w:ascii="Times New Roman" w:hAnsi="Times New Roman" w:cs="Times New Roman"/>
          <w:sz w:val="24"/>
          <w:szCs w:val="24"/>
          <w:lang w:val="en-US"/>
        </w:rPr>
        <w:t xml:space="preserve"> (from 1183.5 to 1258 points), Acting Professor of the Department of Chemistry </w:t>
      </w:r>
      <w:proofErr w:type="spellStart"/>
      <w:r w:rsidRPr="00465F2B">
        <w:rPr>
          <w:rFonts w:ascii="Times New Roman" w:hAnsi="Times New Roman" w:cs="Times New Roman"/>
          <w:sz w:val="24"/>
          <w:szCs w:val="24"/>
          <w:lang w:val="en-US"/>
        </w:rPr>
        <w:t>Galiya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Mutalievna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Madybekova</w:t>
      </w:r>
      <w:proofErr w:type="spellEnd"/>
      <w:r w:rsidRPr="00465F2B">
        <w:rPr>
          <w:rFonts w:ascii="Times New Roman" w:hAnsi="Times New Roman" w:cs="Times New Roman"/>
          <w:sz w:val="24"/>
          <w:szCs w:val="24"/>
          <w:lang w:val="en-US"/>
        </w:rPr>
        <w:t xml:space="preserve"> (from 945 to 1194 points), senior teacher of the Department of Pedagogy </w:t>
      </w:r>
      <w:proofErr w:type="spellStart"/>
      <w:r w:rsidRPr="00465F2B">
        <w:rPr>
          <w:rFonts w:ascii="Times New Roman" w:hAnsi="Times New Roman" w:cs="Times New Roman"/>
          <w:sz w:val="24"/>
          <w:szCs w:val="24"/>
          <w:lang w:val="en-US"/>
        </w:rPr>
        <w:t>Aliya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Kurbanovna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Oralbekova</w:t>
      </w:r>
      <w:proofErr w:type="spellEnd"/>
      <w:r w:rsidRPr="00465F2B">
        <w:rPr>
          <w:rFonts w:ascii="Times New Roman" w:hAnsi="Times New Roman" w:cs="Times New Roman"/>
          <w:sz w:val="24"/>
          <w:szCs w:val="24"/>
          <w:lang w:val="en-US"/>
        </w:rPr>
        <w:t xml:space="preserve"> (from 624.5 to 1240 points), vice-rector for academic </w:t>
      </w:r>
      <w:r w:rsidRPr="00465F2B">
        <w:rPr>
          <w:rFonts w:ascii="Times New Roman" w:hAnsi="Times New Roman" w:cs="Times New Roman"/>
          <w:sz w:val="24"/>
          <w:szCs w:val="24"/>
          <w:lang w:val="en-US"/>
        </w:rPr>
        <w:lastRenderedPageBreak/>
        <w:t xml:space="preserve">and methodological Work, acting professor. </w:t>
      </w:r>
      <w:proofErr w:type="spellStart"/>
      <w:r w:rsidRPr="00465F2B">
        <w:rPr>
          <w:rFonts w:ascii="Times New Roman" w:hAnsi="Times New Roman" w:cs="Times New Roman"/>
          <w:sz w:val="24"/>
          <w:szCs w:val="24"/>
          <w:lang w:val="en-US"/>
        </w:rPr>
        <w:t>Isabek</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Barshagul</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Kashkinovna</w:t>
      </w:r>
      <w:proofErr w:type="spellEnd"/>
      <w:r w:rsidRPr="00465F2B">
        <w:rPr>
          <w:rFonts w:ascii="Times New Roman" w:hAnsi="Times New Roman" w:cs="Times New Roman"/>
          <w:sz w:val="24"/>
          <w:szCs w:val="24"/>
          <w:lang w:val="en-US"/>
        </w:rPr>
        <w:t xml:space="preserve"> (from 579 to 1165 points), academic secretary, senior lecturer of the Kazakh language Department, </w:t>
      </w:r>
      <w:proofErr w:type="spellStart"/>
      <w:r w:rsidRPr="00465F2B">
        <w:rPr>
          <w:rFonts w:ascii="Times New Roman" w:hAnsi="Times New Roman" w:cs="Times New Roman"/>
          <w:sz w:val="24"/>
          <w:szCs w:val="24"/>
          <w:lang w:val="en-US"/>
        </w:rPr>
        <w:t>Akbilek</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Pazylkhanovna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Mynbayeva</w:t>
      </w:r>
      <w:proofErr w:type="spellEnd"/>
      <w:r w:rsidRPr="00465F2B">
        <w:rPr>
          <w:rFonts w:ascii="Times New Roman" w:hAnsi="Times New Roman" w:cs="Times New Roman"/>
          <w:sz w:val="24"/>
          <w:szCs w:val="24"/>
          <w:lang w:val="en-US"/>
        </w:rPr>
        <w:t xml:space="preserve"> (from 499.9 to 1058 points), head of the Department of Preschool and Special Pedagogy </w:t>
      </w:r>
      <w:proofErr w:type="spellStart"/>
      <w:r w:rsidRPr="00465F2B">
        <w:rPr>
          <w:rFonts w:ascii="Times New Roman" w:hAnsi="Times New Roman" w:cs="Times New Roman"/>
          <w:sz w:val="24"/>
          <w:szCs w:val="24"/>
          <w:lang w:val="en-US"/>
        </w:rPr>
        <w:t>Zhanar</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Amalbayeva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Masalieva</w:t>
      </w:r>
      <w:proofErr w:type="spellEnd"/>
      <w:r w:rsidRPr="00465F2B">
        <w:rPr>
          <w:rFonts w:ascii="Times New Roman" w:hAnsi="Times New Roman" w:cs="Times New Roman"/>
          <w:sz w:val="24"/>
          <w:szCs w:val="24"/>
          <w:lang w:val="en-US"/>
        </w:rPr>
        <w:t xml:space="preserve"> (from 485.9 to 1240 points) have been increasing their indicators for 2 years.</w:t>
      </w:r>
    </w:p>
    <w:p w:rsidR="00563429" w:rsidRPr="00465F2B" w:rsidRDefault="00563429" w:rsidP="00563429">
      <w:pPr>
        <w:spacing w:after="0" w:line="240" w:lineRule="auto"/>
        <w:ind w:firstLine="708"/>
        <w:jc w:val="both"/>
        <w:rPr>
          <w:rFonts w:ascii="Times New Roman" w:hAnsi="Times New Roman" w:cs="Times New Roman"/>
          <w:sz w:val="24"/>
          <w:szCs w:val="24"/>
          <w:lang w:val="en-US"/>
        </w:rPr>
      </w:pPr>
      <w:proofErr w:type="spellStart"/>
      <w:r w:rsidRPr="00465F2B">
        <w:rPr>
          <w:rFonts w:ascii="Times New Roman" w:hAnsi="Times New Roman" w:cs="Times New Roman"/>
          <w:sz w:val="24"/>
          <w:szCs w:val="24"/>
          <w:lang w:val="en-US"/>
        </w:rPr>
        <w:t>Kadirbaeva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Roza</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Iztleuovna</w:t>
      </w:r>
      <w:proofErr w:type="spellEnd"/>
      <w:r w:rsidRPr="00465F2B">
        <w:rPr>
          <w:rFonts w:ascii="Times New Roman" w:hAnsi="Times New Roman" w:cs="Times New Roman"/>
          <w:sz w:val="24"/>
          <w:szCs w:val="24"/>
          <w:lang w:val="en-US"/>
        </w:rPr>
        <w:t xml:space="preserve">, who took the first place in the 2020-2021 academic year, is the head of 2 grant-funded scientific projects of the Committee of Science of the Ministry of Education of the Republic of Kazakhstan, the executor of the 1st grant scientific project of the Committee of Science of the Ministry of Education of the Republic of Kazakhstan, published 2 articles in domestic publications according to the list submitted by the Committee for Control in the field of education and Science of the Ministry of Education of the Republic of Kazakhstan. In the second place, </w:t>
      </w:r>
      <w:proofErr w:type="spellStart"/>
      <w:r w:rsidRPr="00465F2B">
        <w:rPr>
          <w:rFonts w:ascii="Times New Roman" w:hAnsi="Times New Roman" w:cs="Times New Roman"/>
          <w:sz w:val="24"/>
          <w:szCs w:val="24"/>
          <w:lang w:val="en-US"/>
        </w:rPr>
        <w:t>Nurlan</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Sairamovich</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Imanbayev</w:t>
      </w:r>
      <w:proofErr w:type="spellEnd"/>
      <w:r w:rsidRPr="00465F2B">
        <w:rPr>
          <w:rFonts w:ascii="Times New Roman" w:hAnsi="Times New Roman" w:cs="Times New Roman"/>
          <w:sz w:val="24"/>
          <w:szCs w:val="24"/>
          <w:lang w:val="en-US"/>
        </w:rPr>
        <w:t xml:space="preserve">, the head of scientific projects funded by 1 grant of the Committee of Science of the Ministry of Education of the Republic of Kazakhstan, the executor of 1 grant scientific project of the Committee of Science of the Ministry of Education of the Republic of Kazakhstan, published 2 articles in scientific journals with a high impact factor registered on the Web of Science, Scopus databases, the Hirsch index was 9, according to the list provided by the Committee for Control in the field of Education and Science of the Ministry of Education of the Republic of Kazakhstan, in domestic publications-2 articles. Taking the third place, </w:t>
      </w:r>
      <w:proofErr w:type="spellStart"/>
      <w:r w:rsidRPr="00465F2B">
        <w:rPr>
          <w:rFonts w:ascii="Times New Roman" w:hAnsi="Times New Roman" w:cs="Times New Roman"/>
          <w:sz w:val="24"/>
          <w:szCs w:val="24"/>
          <w:lang w:val="en-US"/>
        </w:rPr>
        <w:t>Nurimanov</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Bekarys</w:t>
      </w:r>
      <w:proofErr w:type="spellEnd"/>
      <w:r w:rsidRPr="00465F2B">
        <w:rPr>
          <w:rFonts w:ascii="Times New Roman" w:hAnsi="Times New Roman" w:cs="Times New Roman"/>
          <w:sz w:val="24"/>
          <w:szCs w:val="24"/>
          <w:lang w:val="en-US"/>
        </w:rPr>
        <w:t xml:space="preserve"> </w:t>
      </w:r>
      <w:proofErr w:type="spellStart"/>
      <w:r w:rsidRPr="00465F2B">
        <w:rPr>
          <w:rFonts w:ascii="Times New Roman" w:hAnsi="Times New Roman" w:cs="Times New Roman"/>
          <w:sz w:val="24"/>
          <w:szCs w:val="24"/>
          <w:lang w:val="en-US"/>
        </w:rPr>
        <w:t>Tlegenovich</w:t>
      </w:r>
      <w:proofErr w:type="spellEnd"/>
      <w:r w:rsidRPr="00465F2B">
        <w:rPr>
          <w:rFonts w:ascii="Times New Roman" w:hAnsi="Times New Roman" w:cs="Times New Roman"/>
          <w:sz w:val="24"/>
          <w:szCs w:val="24"/>
          <w:lang w:val="en-US"/>
        </w:rPr>
        <w:t xml:space="preserve"> became the executor of 1 program targeted funding, 1 grant scientific project of the Committee of Science of the Ministry of Education and Science of the Republic of </w:t>
      </w:r>
      <w:proofErr w:type="spellStart"/>
      <w:r w:rsidRPr="00465F2B">
        <w:rPr>
          <w:rFonts w:ascii="Times New Roman" w:hAnsi="Times New Roman" w:cs="Times New Roman"/>
          <w:sz w:val="24"/>
          <w:szCs w:val="24"/>
          <w:lang w:val="en-US"/>
        </w:rPr>
        <w:t>Kazakhstan</w:t>
      </w:r>
      <w:proofErr w:type="gramStart"/>
      <w:r w:rsidRPr="00465F2B">
        <w:rPr>
          <w:rFonts w:ascii="Times New Roman" w:hAnsi="Times New Roman" w:cs="Times New Roman"/>
          <w:sz w:val="24"/>
          <w:szCs w:val="24"/>
          <w:lang w:val="en-US"/>
        </w:rPr>
        <w:t>,the</w:t>
      </w:r>
      <w:proofErr w:type="spellEnd"/>
      <w:proofErr w:type="gramEnd"/>
      <w:r w:rsidRPr="00465F2B">
        <w:rPr>
          <w:rFonts w:ascii="Times New Roman" w:hAnsi="Times New Roman" w:cs="Times New Roman"/>
          <w:sz w:val="24"/>
          <w:szCs w:val="24"/>
          <w:lang w:val="en-US"/>
        </w:rPr>
        <w:t xml:space="preserve"> head of 1 international project, published 1 article in a scientific journal with a high impact factor registered on the basis of Scopus, achieved success with a Hirsch index of 2. According to the list submitted by the Committee for Control in the field of education and Science of the Ministry of Education and Science of the Republic of Kazakhstan, 5 articles have been published in domestic publications.</w:t>
      </w:r>
    </w:p>
    <w:p w:rsidR="00563429" w:rsidRPr="00465F2B" w:rsidRDefault="00563429" w:rsidP="00563429">
      <w:pPr>
        <w:spacing w:after="0" w:line="240" w:lineRule="auto"/>
        <w:jc w:val="both"/>
        <w:rPr>
          <w:rFonts w:ascii="Times New Roman" w:hAnsi="Times New Roman" w:cs="Times New Roman"/>
          <w:sz w:val="24"/>
          <w:szCs w:val="24"/>
          <w:lang w:val="en-US"/>
        </w:rPr>
      </w:pPr>
    </w:p>
    <w:p w:rsidR="00563429" w:rsidRPr="00465F2B" w:rsidRDefault="00563429" w:rsidP="0056342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3. Division into categories according to the rating indicators.</w:t>
      </w:r>
    </w:p>
    <w:p w:rsidR="00563429" w:rsidRPr="00465F2B" w:rsidRDefault="00563429" w:rsidP="0056342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 The number of teaching staff with rating indicators above 1001 points - </w:t>
      </w:r>
      <w:proofErr w:type="gramStart"/>
      <w:r w:rsidRPr="00465F2B">
        <w:rPr>
          <w:rFonts w:ascii="Times New Roman" w:hAnsi="Times New Roman" w:cs="Times New Roman"/>
          <w:sz w:val="24"/>
          <w:szCs w:val="24"/>
          <w:lang w:val="en-US"/>
        </w:rPr>
        <w:t>15 ;</w:t>
      </w:r>
      <w:proofErr w:type="gramEnd"/>
    </w:p>
    <w:p w:rsidR="00563429" w:rsidRPr="00465F2B" w:rsidRDefault="00563429" w:rsidP="0056342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The number of teaching staff whose rating indicators were between 701-1000 points -</w:t>
      </w:r>
      <w:proofErr w:type="gramStart"/>
      <w:r w:rsidRPr="00465F2B">
        <w:rPr>
          <w:rFonts w:ascii="Times New Roman" w:hAnsi="Times New Roman" w:cs="Times New Roman"/>
          <w:sz w:val="24"/>
          <w:szCs w:val="24"/>
          <w:lang w:val="en-US"/>
        </w:rPr>
        <w:t>16 ;</w:t>
      </w:r>
      <w:proofErr w:type="gramEnd"/>
    </w:p>
    <w:p w:rsidR="00563429" w:rsidRPr="00465F2B" w:rsidRDefault="00563429" w:rsidP="00563429">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 The number of teaching staff whose rating indicators were </w:t>
      </w:r>
      <w:proofErr w:type="gramStart"/>
      <w:r w:rsidRPr="00465F2B">
        <w:rPr>
          <w:rFonts w:ascii="Times New Roman" w:hAnsi="Times New Roman" w:cs="Times New Roman"/>
          <w:sz w:val="24"/>
          <w:szCs w:val="24"/>
          <w:lang w:val="en-US"/>
        </w:rPr>
        <w:t>between 401-700</w:t>
      </w:r>
      <w:proofErr w:type="gramEnd"/>
      <w:r w:rsidRPr="00465F2B">
        <w:rPr>
          <w:rFonts w:ascii="Times New Roman" w:hAnsi="Times New Roman" w:cs="Times New Roman"/>
          <w:sz w:val="24"/>
          <w:szCs w:val="24"/>
          <w:lang w:val="en-US"/>
        </w:rPr>
        <w:t xml:space="preserve"> points – 37;</w:t>
      </w:r>
    </w:p>
    <w:p w:rsidR="00563429" w:rsidRPr="00465F2B" w:rsidRDefault="00563429" w:rsidP="00563429">
      <w:pPr>
        <w:jc w:val="both"/>
        <w:rPr>
          <w:rFonts w:ascii="Times New Roman" w:hAnsi="Times New Roman" w:cs="Times New Roman"/>
          <w:sz w:val="24"/>
          <w:szCs w:val="24"/>
          <w:lang w:val="en-US"/>
        </w:rPr>
      </w:pPr>
      <w:bookmarkStart w:id="0" w:name="_GoBack"/>
      <w:bookmarkEnd w:id="0"/>
      <w:r w:rsidRPr="00465F2B">
        <w:rPr>
          <w:rFonts w:ascii="Times New Roman" w:hAnsi="Times New Roman" w:cs="Times New Roman"/>
          <w:sz w:val="24"/>
          <w:szCs w:val="24"/>
          <w:lang w:val="en-US"/>
        </w:rPr>
        <w:t xml:space="preserve">4. The number of teaching staff at the university who took part in the overall rating is </w:t>
      </w:r>
      <w:r w:rsidRPr="00465F2B">
        <w:rPr>
          <w:rFonts w:ascii="Times New Roman" w:hAnsi="Times New Roman" w:cs="Times New Roman"/>
          <w:b/>
          <w:sz w:val="24"/>
          <w:szCs w:val="24"/>
          <w:lang w:val="en-US"/>
        </w:rPr>
        <w:t>193</w:t>
      </w:r>
      <w:r w:rsidRPr="00465F2B">
        <w:rPr>
          <w:rFonts w:ascii="Times New Roman" w:hAnsi="Times New Roman" w:cs="Times New Roman"/>
          <w:sz w:val="24"/>
          <w:szCs w:val="24"/>
          <w:lang w:val="en-US"/>
        </w:rPr>
        <w:t>.</w:t>
      </w:r>
    </w:p>
    <w:p w:rsidR="00563429" w:rsidRPr="00465F2B" w:rsidRDefault="00563429" w:rsidP="00563429">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5. Among the faculties, according to the overall rating score, the Faculty of "Natural Science" took the 1st place, the Faculty of "Physics and Mathematics" took the </w:t>
      </w:r>
      <w:r w:rsidRPr="00465F2B">
        <w:rPr>
          <w:rFonts w:ascii="Times New Roman" w:hAnsi="Times New Roman" w:cs="Times New Roman"/>
          <w:b/>
          <w:sz w:val="24"/>
          <w:szCs w:val="24"/>
          <w:lang w:val="en-US"/>
        </w:rPr>
        <w:t>2</w:t>
      </w:r>
      <w:r w:rsidRPr="00465F2B">
        <w:rPr>
          <w:rFonts w:ascii="Times New Roman" w:hAnsi="Times New Roman" w:cs="Times New Roman"/>
          <w:sz w:val="24"/>
          <w:szCs w:val="24"/>
          <w:lang w:val="en-US"/>
        </w:rPr>
        <w:t xml:space="preserve">nd place, </w:t>
      </w:r>
      <w:proofErr w:type="gramStart"/>
      <w:r w:rsidRPr="00465F2B">
        <w:rPr>
          <w:rFonts w:ascii="Times New Roman" w:hAnsi="Times New Roman" w:cs="Times New Roman"/>
          <w:sz w:val="24"/>
          <w:szCs w:val="24"/>
          <w:lang w:val="en-US"/>
        </w:rPr>
        <w:t>the</w:t>
      </w:r>
      <w:proofErr w:type="gramEnd"/>
      <w:r w:rsidRPr="00465F2B">
        <w:rPr>
          <w:rFonts w:ascii="Times New Roman" w:hAnsi="Times New Roman" w:cs="Times New Roman"/>
          <w:sz w:val="24"/>
          <w:szCs w:val="24"/>
          <w:lang w:val="en-US"/>
        </w:rPr>
        <w:t xml:space="preserve"> Faculty of "Philology"</w:t>
      </w:r>
      <w:r w:rsidR="003F7B34" w:rsidRPr="00465F2B">
        <w:rPr>
          <w:rFonts w:ascii="Times New Roman" w:hAnsi="Times New Roman" w:cs="Times New Roman"/>
          <w:sz w:val="24"/>
          <w:szCs w:val="24"/>
          <w:lang w:val="en-US"/>
        </w:rPr>
        <w:t xml:space="preserve"> </w:t>
      </w:r>
      <w:r w:rsidRPr="00465F2B">
        <w:rPr>
          <w:rFonts w:ascii="Times New Roman" w:hAnsi="Times New Roman" w:cs="Times New Roman"/>
          <w:sz w:val="24"/>
          <w:szCs w:val="24"/>
          <w:lang w:val="en-US"/>
        </w:rPr>
        <w:t xml:space="preserve">took the </w:t>
      </w:r>
      <w:r w:rsidRPr="00465F2B">
        <w:rPr>
          <w:rFonts w:ascii="Times New Roman" w:hAnsi="Times New Roman" w:cs="Times New Roman"/>
          <w:b/>
          <w:sz w:val="24"/>
          <w:szCs w:val="24"/>
          <w:lang w:val="en-US"/>
        </w:rPr>
        <w:t>3</w:t>
      </w:r>
      <w:r w:rsidRPr="00465F2B">
        <w:rPr>
          <w:rFonts w:ascii="Times New Roman" w:hAnsi="Times New Roman" w:cs="Times New Roman"/>
          <w:sz w:val="24"/>
          <w:szCs w:val="24"/>
          <w:lang w:val="en-US"/>
        </w:rPr>
        <w:t>rd place.</w:t>
      </w:r>
    </w:p>
    <w:tbl>
      <w:tblPr>
        <w:tblW w:w="9463" w:type="dxa"/>
        <w:tblInd w:w="108" w:type="dxa"/>
        <w:tblLook w:val="04A0" w:firstRow="1" w:lastRow="0" w:firstColumn="1" w:lastColumn="0" w:noHBand="0" w:noVBand="1"/>
      </w:tblPr>
      <w:tblGrid>
        <w:gridCol w:w="460"/>
        <w:gridCol w:w="3995"/>
        <w:gridCol w:w="1112"/>
        <w:gridCol w:w="1692"/>
        <w:gridCol w:w="1377"/>
        <w:gridCol w:w="827"/>
      </w:tblGrid>
      <w:tr w:rsidR="003F7B34" w:rsidRPr="00E747D8" w:rsidTr="004743F4">
        <w:trPr>
          <w:trHeight w:val="315"/>
        </w:trPr>
        <w:tc>
          <w:tcPr>
            <w:tcW w:w="474" w:type="dxa"/>
            <w:vMerge w:val="restart"/>
            <w:tcBorders>
              <w:top w:val="single" w:sz="4" w:space="0" w:color="auto"/>
              <w:left w:val="single" w:sz="4" w:space="0" w:color="auto"/>
              <w:right w:val="single" w:sz="4" w:space="0" w:color="auto"/>
            </w:tcBorders>
            <w:shd w:val="clear" w:color="auto" w:fill="auto"/>
            <w:noWrap/>
            <w:hideMark/>
          </w:tcPr>
          <w:p w:rsidR="003F7B34" w:rsidRPr="00E747D8" w:rsidRDefault="003F7B34" w:rsidP="00EE41AC">
            <w:pPr>
              <w:spacing w:after="0" w:line="240" w:lineRule="auto"/>
              <w:rPr>
                <w:rFonts w:ascii="Times New Roman" w:eastAsia="Times New Roman" w:hAnsi="Times New Roman" w:cs="Times New Roman"/>
                <w:b/>
                <w:bCs/>
                <w:sz w:val="24"/>
                <w:szCs w:val="24"/>
              </w:rPr>
            </w:pPr>
            <w:r w:rsidRPr="00E747D8">
              <w:rPr>
                <w:rFonts w:ascii="Times New Roman" w:eastAsia="Times New Roman" w:hAnsi="Times New Roman" w:cs="Times New Roman"/>
                <w:b/>
                <w:bCs/>
                <w:sz w:val="24"/>
                <w:szCs w:val="24"/>
              </w:rPr>
              <w:t>№</w:t>
            </w:r>
          </w:p>
        </w:tc>
        <w:tc>
          <w:tcPr>
            <w:tcW w:w="4211" w:type="dxa"/>
            <w:vMerge w:val="restart"/>
            <w:tcBorders>
              <w:top w:val="single" w:sz="4" w:space="0" w:color="auto"/>
              <w:left w:val="nil"/>
              <w:right w:val="single" w:sz="4" w:space="0" w:color="auto"/>
            </w:tcBorders>
            <w:shd w:val="clear" w:color="auto" w:fill="auto"/>
            <w:noWrap/>
            <w:hideMark/>
          </w:tcPr>
          <w:p w:rsidR="003F7B34" w:rsidRPr="00E747D8" w:rsidRDefault="003F7B34" w:rsidP="00EE41AC">
            <w:pPr>
              <w:spacing w:after="0" w:line="240" w:lineRule="auto"/>
              <w:rPr>
                <w:rFonts w:ascii="Times New Roman" w:eastAsia="Times New Roman" w:hAnsi="Times New Roman" w:cs="Times New Roman"/>
                <w:b/>
                <w:bCs/>
                <w:sz w:val="24"/>
                <w:szCs w:val="24"/>
              </w:rPr>
            </w:pPr>
            <w:proofErr w:type="spellStart"/>
            <w:r w:rsidRPr="00E747D8">
              <w:rPr>
                <w:rFonts w:ascii="Times New Roman" w:eastAsia="Times New Roman" w:hAnsi="Times New Roman" w:cs="Times New Roman"/>
                <w:b/>
                <w:bCs/>
                <w:sz w:val="24"/>
                <w:szCs w:val="24"/>
              </w:rPr>
              <w:t>Name</w:t>
            </w:r>
            <w:proofErr w:type="spellEnd"/>
            <w:r w:rsidRPr="00E747D8">
              <w:rPr>
                <w:rFonts w:ascii="Times New Roman" w:eastAsia="Times New Roman" w:hAnsi="Times New Roman" w:cs="Times New Roman"/>
                <w:b/>
                <w:bCs/>
                <w:sz w:val="24"/>
                <w:szCs w:val="24"/>
              </w:rPr>
              <w:t xml:space="preserve"> </w:t>
            </w:r>
            <w:proofErr w:type="spellStart"/>
            <w:r w:rsidRPr="00E747D8">
              <w:rPr>
                <w:rFonts w:ascii="Times New Roman" w:eastAsia="Times New Roman" w:hAnsi="Times New Roman" w:cs="Times New Roman"/>
                <w:b/>
                <w:bCs/>
                <w:sz w:val="24"/>
                <w:szCs w:val="24"/>
              </w:rPr>
              <w:t>of</w:t>
            </w:r>
            <w:proofErr w:type="spellEnd"/>
            <w:r w:rsidRPr="00E747D8">
              <w:rPr>
                <w:rFonts w:ascii="Times New Roman" w:eastAsia="Times New Roman" w:hAnsi="Times New Roman" w:cs="Times New Roman"/>
                <w:b/>
                <w:bCs/>
                <w:sz w:val="24"/>
                <w:szCs w:val="24"/>
              </w:rPr>
              <w:t xml:space="preserve"> </w:t>
            </w:r>
            <w:proofErr w:type="spellStart"/>
            <w:r w:rsidRPr="00E747D8">
              <w:rPr>
                <w:rFonts w:ascii="Times New Roman" w:eastAsia="Times New Roman" w:hAnsi="Times New Roman" w:cs="Times New Roman"/>
                <w:b/>
                <w:bCs/>
                <w:sz w:val="24"/>
                <w:szCs w:val="24"/>
              </w:rPr>
              <w:t>the</w:t>
            </w:r>
            <w:proofErr w:type="spellEnd"/>
            <w:r w:rsidRPr="00E747D8">
              <w:rPr>
                <w:rFonts w:ascii="Times New Roman" w:eastAsia="Times New Roman" w:hAnsi="Times New Roman" w:cs="Times New Roman"/>
                <w:b/>
                <w:bCs/>
                <w:sz w:val="24"/>
                <w:szCs w:val="24"/>
              </w:rPr>
              <w:t xml:space="preserve"> </w:t>
            </w:r>
            <w:proofErr w:type="spellStart"/>
            <w:r w:rsidRPr="00E747D8">
              <w:rPr>
                <w:rFonts w:ascii="Times New Roman" w:eastAsia="Times New Roman" w:hAnsi="Times New Roman" w:cs="Times New Roman"/>
                <w:b/>
                <w:bCs/>
                <w:sz w:val="24"/>
                <w:szCs w:val="24"/>
              </w:rPr>
              <w:t>faculty</w:t>
            </w:r>
            <w:proofErr w:type="spellEnd"/>
          </w:p>
        </w:tc>
        <w:tc>
          <w:tcPr>
            <w:tcW w:w="4778" w:type="dxa"/>
            <w:gridSpan w:val="4"/>
            <w:tcBorders>
              <w:top w:val="single" w:sz="4" w:space="0" w:color="auto"/>
              <w:left w:val="nil"/>
              <w:bottom w:val="single" w:sz="4" w:space="0" w:color="auto"/>
              <w:right w:val="single" w:sz="4" w:space="0" w:color="auto"/>
            </w:tcBorders>
          </w:tcPr>
          <w:p w:rsidR="003F7B34" w:rsidRPr="00E747D8" w:rsidRDefault="003F7B34" w:rsidP="003F7B34">
            <w:pPr>
              <w:spacing w:after="0" w:line="240" w:lineRule="auto"/>
              <w:jc w:val="center"/>
              <w:rPr>
                <w:rFonts w:ascii="Times New Roman" w:eastAsia="Times New Roman" w:hAnsi="Times New Roman" w:cs="Times New Roman"/>
                <w:b/>
                <w:bCs/>
                <w:sz w:val="24"/>
                <w:szCs w:val="24"/>
              </w:rPr>
            </w:pPr>
            <w:proofErr w:type="spellStart"/>
            <w:proofErr w:type="gramStart"/>
            <w:r w:rsidRPr="00E747D8">
              <w:rPr>
                <w:rFonts w:ascii="Times New Roman" w:eastAsia="Times New Roman" w:hAnsi="Times New Roman" w:cs="Times New Roman"/>
                <w:b/>
                <w:bCs/>
                <w:sz w:val="24"/>
                <w:szCs w:val="24"/>
              </w:rPr>
              <w:t>А</w:t>
            </w:r>
            <w:proofErr w:type="gramEnd"/>
            <w:r w:rsidRPr="00E747D8">
              <w:rPr>
                <w:rFonts w:ascii="Times New Roman" w:eastAsia="Times New Roman" w:hAnsi="Times New Roman" w:cs="Times New Roman"/>
                <w:b/>
                <w:bCs/>
                <w:sz w:val="24"/>
                <w:szCs w:val="24"/>
              </w:rPr>
              <w:t>verage</w:t>
            </w:r>
            <w:proofErr w:type="spellEnd"/>
            <w:r w:rsidRPr="00E747D8">
              <w:rPr>
                <w:rFonts w:ascii="Times New Roman" w:eastAsia="Times New Roman" w:hAnsi="Times New Roman" w:cs="Times New Roman"/>
                <w:b/>
                <w:bCs/>
                <w:sz w:val="24"/>
                <w:szCs w:val="24"/>
              </w:rPr>
              <w:t xml:space="preserve"> </w:t>
            </w:r>
            <w:proofErr w:type="spellStart"/>
            <w:r w:rsidRPr="00E747D8">
              <w:rPr>
                <w:rFonts w:ascii="Times New Roman" w:eastAsia="Times New Roman" w:hAnsi="Times New Roman" w:cs="Times New Roman"/>
                <w:b/>
                <w:bCs/>
                <w:sz w:val="24"/>
                <w:szCs w:val="24"/>
              </w:rPr>
              <w:t>score</w:t>
            </w:r>
            <w:proofErr w:type="spellEnd"/>
          </w:p>
        </w:tc>
      </w:tr>
      <w:tr w:rsidR="003F7B34" w:rsidRPr="00E747D8" w:rsidTr="004743F4">
        <w:trPr>
          <w:trHeight w:val="315"/>
        </w:trPr>
        <w:tc>
          <w:tcPr>
            <w:tcW w:w="474" w:type="dxa"/>
            <w:vMerge/>
            <w:tcBorders>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rPr>
            </w:pPr>
          </w:p>
        </w:tc>
        <w:tc>
          <w:tcPr>
            <w:tcW w:w="4211" w:type="dxa"/>
            <w:vMerge/>
            <w:tcBorders>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rPr>
            </w:pPr>
          </w:p>
        </w:tc>
        <w:tc>
          <w:tcPr>
            <w:tcW w:w="1045" w:type="dxa"/>
            <w:tcBorders>
              <w:top w:val="single" w:sz="4" w:space="0" w:color="auto"/>
              <w:left w:val="nil"/>
              <w:bottom w:val="single" w:sz="4" w:space="0" w:color="auto"/>
              <w:right w:val="single" w:sz="4" w:space="0" w:color="auto"/>
            </w:tcBorders>
          </w:tcPr>
          <w:p w:rsidR="003F7B34" w:rsidRPr="00E747D8" w:rsidRDefault="003F7B34" w:rsidP="003F7B34">
            <w:pPr>
              <w:spacing w:after="0" w:line="240" w:lineRule="auto"/>
              <w:rPr>
                <w:rFonts w:ascii="Times New Roman" w:eastAsia="Times New Roman" w:hAnsi="Times New Roman" w:cs="Times New Roman"/>
                <w:b/>
                <w:bCs/>
                <w:sz w:val="24"/>
                <w:szCs w:val="24"/>
                <w:lang w:val="en-US"/>
              </w:rPr>
            </w:pPr>
            <w:r w:rsidRPr="00E747D8">
              <w:rPr>
                <w:rFonts w:ascii="Times New Roman" w:eastAsia="Times New Roman" w:hAnsi="Times New Roman" w:cs="Times New Roman"/>
                <w:b/>
                <w:bCs/>
                <w:sz w:val="24"/>
                <w:szCs w:val="24"/>
                <w:lang w:val="en-US"/>
              </w:rPr>
              <w:t>R</w:t>
            </w:r>
            <w:r w:rsidRPr="00E747D8">
              <w:rPr>
                <w:rFonts w:ascii="Times New Roman" w:eastAsia="Times New Roman" w:hAnsi="Times New Roman" w:cs="Times New Roman"/>
                <w:b/>
                <w:bCs/>
                <w:sz w:val="24"/>
                <w:szCs w:val="24"/>
                <w:lang w:val="kk-KZ"/>
              </w:rPr>
              <w:t xml:space="preserve">esearch </w:t>
            </w:r>
            <w:r w:rsidRPr="00E747D8">
              <w:rPr>
                <w:rFonts w:ascii="Times New Roman" w:eastAsia="Times New Roman" w:hAnsi="Times New Roman" w:cs="Times New Roman"/>
                <w:b/>
                <w:bCs/>
                <w:sz w:val="24"/>
                <w:szCs w:val="24"/>
                <w:lang w:val="en-US"/>
              </w:rPr>
              <w:t>W</w:t>
            </w:r>
            <w:r w:rsidRPr="00E747D8">
              <w:rPr>
                <w:rFonts w:ascii="Times New Roman" w:eastAsia="Times New Roman" w:hAnsi="Times New Roman" w:cs="Times New Roman"/>
                <w:b/>
                <w:bCs/>
                <w:sz w:val="24"/>
                <w:szCs w:val="24"/>
                <w:lang w:val="kk-KZ"/>
              </w:rPr>
              <w:t>ork (</w:t>
            </w:r>
            <w:r w:rsidRPr="00E747D8">
              <w:rPr>
                <w:rFonts w:ascii="Times New Roman" w:eastAsia="Times New Roman" w:hAnsi="Times New Roman" w:cs="Times New Roman"/>
                <w:b/>
                <w:bCs/>
                <w:sz w:val="24"/>
                <w:szCs w:val="24"/>
                <w:lang w:val="en-US"/>
              </w:rPr>
              <w:t>RW)</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spacing w:after="0" w:line="240" w:lineRule="auto"/>
              <w:jc w:val="center"/>
              <w:rPr>
                <w:rFonts w:ascii="Times New Roman" w:eastAsia="Times New Roman" w:hAnsi="Times New Roman" w:cs="Times New Roman"/>
                <w:b/>
                <w:bCs/>
                <w:sz w:val="24"/>
                <w:szCs w:val="24"/>
                <w:lang w:val="en-US"/>
              </w:rPr>
            </w:pPr>
            <w:r w:rsidRPr="00E747D8">
              <w:rPr>
                <w:rFonts w:ascii="Times New Roman" w:eastAsia="Times New Roman" w:hAnsi="Times New Roman" w:cs="Times New Roman"/>
                <w:b/>
                <w:bCs/>
                <w:sz w:val="24"/>
                <w:szCs w:val="24"/>
                <w:lang w:val="kk-KZ"/>
              </w:rPr>
              <w:t>Educational and methodological work</w:t>
            </w:r>
            <w:r w:rsidRPr="00E747D8">
              <w:rPr>
                <w:rFonts w:ascii="Times New Roman" w:eastAsia="Times New Roman" w:hAnsi="Times New Roman" w:cs="Times New Roman"/>
                <w:b/>
                <w:bCs/>
                <w:sz w:val="24"/>
                <w:szCs w:val="24"/>
                <w:lang w:val="en-US"/>
              </w:rPr>
              <w:t xml:space="preserve"> (EMW)</w:t>
            </w:r>
          </w:p>
        </w:tc>
        <w:tc>
          <w:tcPr>
            <w:tcW w:w="1290"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spacing w:after="0" w:line="240" w:lineRule="auto"/>
              <w:jc w:val="center"/>
              <w:rPr>
                <w:rFonts w:ascii="Times New Roman" w:eastAsia="Times New Roman" w:hAnsi="Times New Roman" w:cs="Times New Roman"/>
                <w:b/>
                <w:bCs/>
                <w:sz w:val="24"/>
                <w:szCs w:val="24"/>
                <w:lang w:val="en-US"/>
              </w:rPr>
            </w:pPr>
            <w:r w:rsidRPr="00E747D8">
              <w:rPr>
                <w:rFonts w:ascii="Times New Roman" w:eastAsia="Times New Roman" w:hAnsi="Times New Roman" w:cs="Times New Roman"/>
                <w:b/>
                <w:bCs/>
                <w:sz w:val="24"/>
                <w:szCs w:val="24"/>
                <w:lang w:val="en-US"/>
              </w:rPr>
              <w:t>P</w:t>
            </w:r>
            <w:proofErr w:type="spellStart"/>
            <w:r w:rsidRPr="00E747D8">
              <w:rPr>
                <w:rFonts w:ascii="Times New Roman" w:eastAsia="Times New Roman" w:hAnsi="Times New Roman" w:cs="Times New Roman"/>
                <w:b/>
                <w:bCs/>
                <w:sz w:val="24"/>
                <w:szCs w:val="24"/>
              </w:rPr>
              <w:t>edagogical</w:t>
            </w:r>
            <w:proofErr w:type="spellEnd"/>
            <w:r w:rsidRPr="00E747D8">
              <w:rPr>
                <w:rFonts w:ascii="Times New Roman" w:eastAsia="Times New Roman" w:hAnsi="Times New Roman" w:cs="Times New Roman"/>
                <w:b/>
                <w:bCs/>
                <w:sz w:val="24"/>
                <w:szCs w:val="24"/>
              </w:rPr>
              <w:t xml:space="preserve"> </w:t>
            </w:r>
            <w:r w:rsidRPr="00E747D8">
              <w:rPr>
                <w:rFonts w:ascii="Times New Roman" w:eastAsia="Times New Roman" w:hAnsi="Times New Roman" w:cs="Times New Roman"/>
                <w:b/>
                <w:bCs/>
                <w:sz w:val="24"/>
                <w:szCs w:val="24"/>
                <w:lang w:val="en-US"/>
              </w:rPr>
              <w:t>W</w:t>
            </w:r>
            <w:proofErr w:type="spellStart"/>
            <w:r w:rsidRPr="00E747D8">
              <w:rPr>
                <w:rFonts w:ascii="Times New Roman" w:eastAsia="Times New Roman" w:hAnsi="Times New Roman" w:cs="Times New Roman"/>
                <w:b/>
                <w:bCs/>
                <w:sz w:val="24"/>
                <w:szCs w:val="24"/>
              </w:rPr>
              <w:t>ork</w:t>
            </w:r>
            <w:proofErr w:type="spellEnd"/>
          </w:p>
          <w:p w:rsidR="003F7B34" w:rsidRPr="00E747D8" w:rsidRDefault="003F7B34" w:rsidP="00EE41AC">
            <w:pPr>
              <w:spacing w:after="0" w:line="240" w:lineRule="auto"/>
              <w:jc w:val="center"/>
              <w:rPr>
                <w:rFonts w:ascii="Times New Roman" w:eastAsia="Times New Roman" w:hAnsi="Times New Roman" w:cs="Times New Roman"/>
                <w:b/>
                <w:bCs/>
                <w:sz w:val="24"/>
                <w:szCs w:val="24"/>
                <w:lang w:val="en-US"/>
              </w:rPr>
            </w:pPr>
            <w:r w:rsidRPr="00E747D8">
              <w:rPr>
                <w:rFonts w:ascii="Times New Roman" w:eastAsia="Times New Roman" w:hAnsi="Times New Roman" w:cs="Times New Roman"/>
                <w:b/>
                <w:bCs/>
                <w:sz w:val="24"/>
                <w:szCs w:val="24"/>
              </w:rPr>
              <w:t>(</w:t>
            </w:r>
            <w:r w:rsidRPr="00E747D8">
              <w:rPr>
                <w:rFonts w:ascii="Times New Roman" w:eastAsia="Times New Roman" w:hAnsi="Times New Roman" w:cs="Times New Roman"/>
                <w:b/>
                <w:bCs/>
                <w:sz w:val="24"/>
                <w:szCs w:val="24"/>
                <w:lang w:val="en-US"/>
              </w:rPr>
              <w:t>PW</w:t>
            </w:r>
            <w:r w:rsidRPr="00E747D8">
              <w:rPr>
                <w:rFonts w:ascii="Times New Roman" w:eastAsia="Times New Roman" w:hAnsi="Times New Roman" w:cs="Times New Roman"/>
                <w:b/>
                <w:bCs/>
                <w:sz w:val="24"/>
                <w:szCs w:val="24"/>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jc w:val="center"/>
              <w:rPr>
                <w:rFonts w:ascii="Times New Roman" w:eastAsia="Times New Roman" w:hAnsi="Times New Roman" w:cs="Times New Roman"/>
                <w:b/>
                <w:bCs/>
                <w:sz w:val="24"/>
                <w:szCs w:val="24"/>
                <w:lang w:val="kk-KZ"/>
              </w:rPr>
            </w:pPr>
            <w:r w:rsidRPr="00E747D8">
              <w:rPr>
                <w:rFonts w:ascii="Times New Roman" w:eastAsia="Times New Roman" w:hAnsi="Times New Roman" w:cs="Times New Roman"/>
                <w:b/>
                <w:bCs/>
                <w:sz w:val="24"/>
                <w:szCs w:val="24"/>
                <w:lang w:val="kk-KZ"/>
              </w:rPr>
              <w:t>Total</w:t>
            </w:r>
          </w:p>
        </w:tc>
      </w:tr>
      <w:tr w:rsidR="003F7B34" w:rsidRPr="00E747D8" w:rsidTr="004743F4">
        <w:trPr>
          <w:trHeight w:val="315"/>
        </w:trPr>
        <w:tc>
          <w:tcPr>
            <w:tcW w:w="474" w:type="dxa"/>
            <w:tcBorders>
              <w:top w:val="nil"/>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1</w:t>
            </w:r>
          </w:p>
        </w:tc>
        <w:tc>
          <w:tcPr>
            <w:tcW w:w="4211" w:type="dxa"/>
            <w:tcBorders>
              <w:top w:val="nil"/>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Natural Sciences</w:t>
            </w:r>
          </w:p>
        </w:tc>
        <w:tc>
          <w:tcPr>
            <w:tcW w:w="1045" w:type="dxa"/>
            <w:tcBorders>
              <w:top w:val="single" w:sz="4" w:space="0" w:color="auto"/>
              <w:left w:val="nil"/>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green"/>
                <w:lang w:val="kk-KZ"/>
              </w:rPr>
              <w:t>277,1</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red"/>
                <w:lang w:val="kk-KZ"/>
              </w:rPr>
              <w:t>157,6</w:t>
            </w:r>
          </w:p>
        </w:tc>
        <w:tc>
          <w:tcPr>
            <w:tcW w:w="1290"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red"/>
                <w:lang w:val="kk-KZ"/>
              </w:rPr>
              <w:t>74,3</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red"/>
                <w:lang w:val="kk-KZ"/>
              </w:rPr>
              <w:t>509</w:t>
            </w:r>
          </w:p>
        </w:tc>
      </w:tr>
      <w:tr w:rsidR="003F7B34" w:rsidRPr="00E747D8" w:rsidTr="004743F4">
        <w:trPr>
          <w:trHeight w:val="315"/>
        </w:trPr>
        <w:tc>
          <w:tcPr>
            <w:tcW w:w="474" w:type="dxa"/>
            <w:tcBorders>
              <w:top w:val="nil"/>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2</w:t>
            </w:r>
          </w:p>
        </w:tc>
        <w:tc>
          <w:tcPr>
            <w:tcW w:w="4211" w:type="dxa"/>
            <w:tcBorders>
              <w:top w:val="nil"/>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rPr>
            </w:pPr>
            <w:proofErr w:type="spellStart"/>
            <w:r w:rsidRPr="00E747D8">
              <w:rPr>
                <w:rFonts w:ascii="Times New Roman" w:eastAsia="Times New Roman" w:hAnsi="Times New Roman" w:cs="Times New Roman"/>
                <w:sz w:val="24"/>
                <w:szCs w:val="24"/>
              </w:rPr>
              <w:t>Physics-Mathematics</w:t>
            </w:r>
            <w:proofErr w:type="spellEnd"/>
          </w:p>
        </w:tc>
        <w:tc>
          <w:tcPr>
            <w:tcW w:w="1045" w:type="dxa"/>
            <w:tcBorders>
              <w:top w:val="single" w:sz="4" w:space="0" w:color="auto"/>
              <w:left w:val="nil"/>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red"/>
                <w:lang w:val="kk-KZ"/>
              </w:rPr>
              <w:t>321,5</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yellow"/>
                <w:lang w:val="kk-KZ"/>
              </w:rPr>
              <w:t>110,4</w:t>
            </w:r>
          </w:p>
        </w:tc>
        <w:tc>
          <w:tcPr>
            <w:tcW w:w="1290"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30,8</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green"/>
                <w:lang w:val="kk-KZ"/>
              </w:rPr>
              <w:t>462,7</w:t>
            </w:r>
          </w:p>
        </w:tc>
      </w:tr>
      <w:tr w:rsidR="003F7B34" w:rsidRPr="00E747D8" w:rsidTr="004743F4">
        <w:trPr>
          <w:trHeight w:val="315"/>
        </w:trPr>
        <w:tc>
          <w:tcPr>
            <w:tcW w:w="474" w:type="dxa"/>
            <w:tcBorders>
              <w:top w:val="nil"/>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3</w:t>
            </w:r>
          </w:p>
        </w:tc>
        <w:tc>
          <w:tcPr>
            <w:tcW w:w="4211" w:type="dxa"/>
            <w:tcBorders>
              <w:top w:val="nil"/>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rPr>
            </w:pPr>
            <w:proofErr w:type="spellStart"/>
            <w:r w:rsidRPr="00E747D8">
              <w:rPr>
                <w:rFonts w:ascii="Times New Roman" w:eastAsia="Times New Roman" w:hAnsi="Times New Roman" w:cs="Times New Roman"/>
                <w:sz w:val="24"/>
                <w:szCs w:val="24"/>
              </w:rPr>
              <w:t>Philology</w:t>
            </w:r>
            <w:proofErr w:type="spellEnd"/>
          </w:p>
        </w:tc>
        <w:tc>
          <w:tcPr>
            <w:tcW w:w="1045" w:type="dxa"/>
            <w:tcBorders>
              <w:top w:val="single" w:sz="4" w:space="0" w:color="auto"/>
              <w:left w:val="nil"/>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yellow"/>
                <w:lang w:val="kk-KZ"/>
              </w:rPr>
              <w:t>219,3</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tabs>
                <w:tab w:val="center" w:pos="330"/>
              </w:tabs>
              <w:jc w:val="center"/>
              <w:rPr>
                <w:rFonts w:ascii="Times New Roman" w:hAnsi="Times New Roman" w:cs="Times New Roman"/>
                <w:sz w:val="24"/>
                <w:szCs w:val="24"/>
                <w:lang w:val="kk-KZ"/>
              </w:rPr>
            </w:pPr>
            <w:r w:rsidRPr="00E747D8">
              <w:rPr>
                <w:rFonts w:ascii="Times New Roman" w:hAnsi="Times New Roman" w:cs="Times New Roman"/>
                <w:sz w:val="24"/>
                <w:szCs w:val="24"/>
                <w:highlight w:val="green"/>
                <w:lang w:val="kk-KZ"/>
              </w:rPr>
              <w:t>129,2</w:t>
            </w:r>
          </w:p>
        </w:tc>
        <w:tc>
          <w:tcPr>
            <w:tcW w:w="1290"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yellow"/>
                <w:lang w:val="kk-KZ"/>
              </w:rPr>
              <w:t>45,6</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yellow"/>
                <w:lang w:val="kk-KZ"/>
              </w:rPr>
              <w:t>394,1</w:t>
            </w:r>
          </w:p>
        </w:tc>
      </w:tr>
      <w:tr w:rsidR="003F7B34" w:rsidRPr="00E747D8" w:rsidTr="004743F4">
        <w:trPr>
          <w:trHeight w:val="315"/>
        </w:trPr>
        <w:tc>
          <w:tcPr>
            <w:tcW w:w="474" w:type="dxa"/>
            <w:tcBorders>
              <w:top w:val="nil"/>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4</w:t>
            </w:r>
          </w:p>
        </w:tc>
        <w:tc>
          <w:tcPr>
            <w:tcW w:w="4211" w:type="dxa"/>
            <w:tcBorders>
              <w:top w:val="nil"/>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History and pedagogy</w:t>
            </w:r>
          </w:p>
        </w:tc>
        <w:tc>
          <w:tcPr>
            <w:tcW w:w="1045" w:type="dxa"/>
            <w:tcBorders>
              <w:top w:val="single" w:sz="4" w:space="0" w:color="auto"/>
              <w:left w:val="nil"/>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227,7</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80,2</w:t>
            </w:r>
          </w:p>
        </w:tc>
        <w:tc>
          <w:tcPr>
            <w:tcW w:w="1290"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highlight w:val="green"/>
                <w:lang w:val="kk-KZ"/>
              </w:rPr>
              <w:t>51,3</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359,2</w:t>
            </w:r>
          </w:p>
        </w:tc>
      </w:tr>
      <w:tr w:rsidR="003F7B34" w:rsidRPr="00E747D8" w:rsidTr="004743F4">
        <w:trPr>
          <w:trHeight w:val="300"/>
        </w:trPr>
        <w:tc>
          <w:tcPr>
            <w:tcW w:w="474" w:type="dxa"/>
            <w:tcBorders>
              <w:top w:val="nil"/>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rPr>
            </w:pPr>
            <w:r w:rsidRPr="00E747D8">
              <w:rPr>
                <w:rFonts w:ascii="Times New Roman" w:eastAsia="Times New Roman" w:hAnsi="Times New Roman" w:cs="Times New Roman"/>
                <w:sz w:val="24"/>
                <w:szCs w:val="24"/>
              </w:rPr>
              <w:t>5</w:t>
            </w:r>
          </w:p>
        </w:tc>
        <w:tc>
          <w:tcPr>
            <w:tcW w:w="4211" w:type="dxa"/>
            <w:tcBorders>
              <w:top w:val="nil"/>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Art and education</w:t>
            </w:r>
          </w:p>
        </w:tc>
        <w:tc>
          <w:tcPr>
            <w:tcW w:w="1045" w:type="dxa"/>
            <w:tcBorders>
              <w:top w:val="single" w:sz="4" w:space="0" w:color="auto"/>
              <w:left w:val="nil"/>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153,5</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94,2</w:t>
            </w:r>
          </w:p>
        </w:tc>
        <w:tc>
          <w:tcPr>
            <w:tcW w:w="1290"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color w:val="FFFFFF" w:themeColor="background1"/>
                <w:sz w:val="24"/>
                <w:szCs w:val="24"/>
                <w:highlight w:val="red"/>
                <w:lang w:val="kk-KZ"/>
              </w:rPr>
            </w:pPr>
            <w:r w:rsidRPr="00E747D8">
              <w:rPr>
                <w:rFonts w:ascii="Times New Roman" w:hAnsi="Times New Roman" w:cs="Times New Roman"/>
                <w:sz w:val="24"/>
                <w:szCs w:val="24"/>
                <w:lang w:val="kk-KZ"/>
              </w:rPr>
              <w:t>23</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270,7</w:t>
            </w:r>
          </w:p>
        </w:tc>
      </w:tr>
      <w:tr w:rsidR="003F7B34" w:rsidRPr="00E747D8" w:rsidTr="004743F4">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rPr>
            </w:pPr>
            <w:r w:rsidRPr="00E747D8">
              <w:rPr>
                <w:rFonts w:ascii="Times New Roman" w:eastAsia="Times New Roman" w:hAnsi="Times New Roman" w:cs="Times New Roman"/>
                <w:sz w:val="24"/>
                <w:szCs w:val="24"/>
              </w:rPr>
              <w:lastRenderedPageBreak/>
              <w:t>6</w:t>
            </w:r>
          </w:p>
        </w:tc>
        <w:tc>
          <w:tcPr>
            <w:tcW w:w="4211" w:type="dxa"/>
            <w:tcBorders>
              <w:top w:val="single" w:sz="4" w:space="0" w:color="auto"/>
              <w:left w:val="nil"/>
              <w:bottom w:val="single" w:sz="4" w:space="0" w:color="auto"/>
              <w:right w:val="single" w:sz="4" w:space="0" w:color="auto"/>
            </w:tcBorders>
            <w:shd w:val="clear" w:color="auto" w:fill="auto"/>
            <w:noWrap/>
          </w:tcPr>
          <w:p w:rsidR="003F7B34" w:rsidRPr="00E747D8" w:rsidRDefault="003F7B34" w:rsidP="00EE41AC">
            <w:pPr>
              <w:spacing w:after="0" w:line="240" w:lineRule="auto"/>
              <w:rPr>
                <w:rFonts w:ascii="Times New Roman" w:eastAsia="Times New Roman" w:hAnsi="Times New Roman" w:cs="Times New Roman"/>
                <w:sz w:val="24"/>
                <w:szCs w:val="24"/>
                <w:lang w:val="kk-KZ"/>
              </w:rPr>
            </w:pPr>
            <w:r w:rsidRPr="00E747D8">
              <w:rPr>
                <w:rFonts w:ascii="Times New Roman" w:eastAsia="Times New Roman" w:hAnsi="Times New Roman" w:cs="Times New Roman"/>
                <w:sz w:val="24"/>
                <w:szCs w:val="24"/>
                <w:lang w:val="kk-KZ"/>
              </w:rPr>
              <w:t>Physical education and sports</w:t>
            </w:r>
          </w:p>
        </w:tc>
        <w:tc>
          <w:tcPr>
            <w:tcW w:w="1045" w:type="dxa"/>
            <w:tcBorders>
              <w:top w:val="single" w:sz="4" w:space="0" w:color="auto"/>
              <w:left w:val="nil"/>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131,8</w:t>
            </w:r>
          </w:p>
        </w:tc>
        <w:tc>
          <w:tcPr>
            <w:tcW w:w="1581" w:type="dxa"/>
            <w:tcBorders>
              <w:top w:val="single" w:sz="4" w:space="0" w:color="auto"/>
              <w:left w:val="single" w:sz="4" w:space="0" w:color="auto"/>
              <w:bottom w:val="single" w:sz="4" w:space="0" w:color="auto"/>
              <w:right w:val="single" w:sz="4" w:space="0" w:color="auto"/>
            </w:tcBorders>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69</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3F7B34" w:rsidRPr="00E747D8" w:rsidRDefault="003F7B34" w:rsidP="00EE41AC">
            <w:pPr>
              <w:jc w:val="center"/>
              <w:rPr>
                <w:rFonts w:ascii="Times New Roman" w:hAnsi="Times New Roman" w:cs="Times New Roman"/>
                <w:sz w:val="24"/>
                <w:szCs w:val="24"/>
                <w:highlight w:val="yellow"/>
                <w:lang w:val="kk-KZ"/>
              </w:rPr>
            </w:pPr>
            <w:r w:rsidRPr="00E747D8">
              <w:rPr>
                <w:rFonts w:ascii="Times New Roman" w:hAnsi="Times New Roman" w:cs="Times New Roman"/>
                <w:sz w:val="24"/>
                <w:szCs w:val="24"/>
                <w:lang w:val="kk-KZ"/>
              </w:rPr>
              <w:t>45,5</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3F7B34" w:rsidRPr="00E747D8" w:rsidRDefault="003F7B34" w:rsidP="00EE41AC">
            <w:pPr>
              <w:jc w:val="center"/>
              <w:rPr>
                <w:rFonts w:ascii="Times New Roman" w:hAnsi="Times New Roman" w:cs="Times New Roman"/>
                <w:sz w:val="24"/>
                <w:szCs w:val="24"/>
                <w:lang w:val="kk-KZ"/>
              </w:rPr>
            </w:pPr>
            <w:r w:rsidRPr="00E747D8">
              <w:rPr>
                <w:rFonts w:ascii="Times New Roman" w:hAnsi="Times New Roman" w:cs="Times New Roman"/>
                <w:sz w:val="24"/>
                <w:szCs w:val="24"/>
                <w:lang w:val="kk-KZ"/>
              </w:rPr>
              <w:t>246,3</w:t>
            </w:r>
          </w:p>
        </w:tc>
      </w:tr>
    </w:tbl>
    <w:p w:rsidR="003F7B34" w:rsidRPr="00465F2B" w:rsidRDefault="003F7B34" w:rsidP="00563429">
      <w:pPr>
        <w:jc w:val="both"/>
        <w:rPr>
          <w:rFonts w:ascii="Times New Roman" w:hAnsi="Times New Roman" w:cs="Times New Roman"/>
          <w:sz w:val="24"/>
          <w:szCs w:val="24"/>
          <w:lang w:val="en-US"/>
        </w:rPr>
      </w:pPr>
    </w:p>
    <w:p w:rsidR="00E23DFA" w:rsidRPr="00465F2B" w:rsidRDefault="00E23DFA" w:rsidP="00E23DFA">
      <w:pPr>
        <w:spacing w:after="0" w:line="240" w:lineRule="auto"/>
        <w:ind w:firstLine="708"/>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In the 2019-2020 academic </w:t>
      </w:r>
      <w:proofErr w:type="gramStart"/>
      <w:r w:rsidRPr="00465F2B">
        <w:rPr>
          <w:rFonts w:ascii="Times New Roman" w:hAnsi="Times New Roman" w:cs="Times New Roman"/>
          <w:sz w:val="24"/>
          <w:szCs w:val="24"/>
          <w:lang w:val="en-US"/>
        </w:rPr>
        <w:t>year</w:t>
      </w:r>
      <w:proofErr w:type="gramEnd"/>
      <w:r w:rsidRPr="00465F2B">
        <w:rPr>
          <w:rFonts w:ascii="Times New Roman" w:hAnsi="Times New Roman" w:cs="Times New Roman"/>
          <w:sz w:val="24"/>
          <w:szCs w:val="24"/>
          <w:lang w:val="en-US"/>
        </w:rPr>
        <w:t>, according to the overall rating score among the faculties, the Faculty of Physics and Mathematics took the 1st place, the Faculty of Natural Sciences took the 2nd place, the Faculty of History and Pedagogy took the 3rd place.</w:t>
      </w:r>
    </w:p>
    <w:p w:rsidR="00E23DFA" w:rsidRPr="00465F2B" w:rsidRDefault="00E23DFA" w:rsidP="00E23DFA">
      <w:pPr>
        <w:spacing w:after="0" w:line="240" w:lineRule="auto"/>
        <w:ind w:firstLine="708"/>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The Faculty of" Natural Sciences "rose from the 2nd to the 1st place, and the Faculty </w:t>
      </w:r>
      <w:proofErr w:type="spellStart"/>
      <w:r w:rsidRPr="00465F2B">
        <w:rPr>
          <w:rFonts w:ascii="Times New Roman" w:hAnsi="Times New Roman" w:cs="Times New Roman"/>
          <w:sz w:val="24"/>
          <w:szCs w:val="24"/>
          <w:lang w:val="en-US"/>
        </w:rPr>
        <w:t>of"Philology</w:t>
      </w:r>
      <w:proofErr w:type="spellEnd"/>
      <w:r w:rsidRPr="00465F2B">
        <w:rPr>
          <w:rFonts w:ascii="Times New Roman" w:hAnsi="Times New Roman" w:cs="Times New Roman"/>
          <w:sz w:val="24"/>
          <w:szCs w:val="24"/>
          <w:lang w:val="en-US"/>
        </w:rPr>
        <w:t>" -from the 4th to the 3rd place.</w:t>
      </w:r>
    </w:p>
    <w:p w:rsidR="00E23DFA" w:rsidRPr="00465F2B" w:rsidRDefault="00E23DFA" w:rsidP="00E23DFA">
      <w:pPr>
        <w:spacing w:after="0" w:line="240" w:lineRule="auto"/>
        <w:ind w:firstLine="708"/>
        <w:jc w:val="both"/>
        <w:rPr>
          <w:rFonts w:ascii="Times New Roman" w:hAnsi="Times New Roman" w:cs="Times New Roman"/>
          <w:sz w:val="24"/>
          <w:szCs w:val="24"/>
          <w:lang w:val="en-US"/>
        </w:rPr>
      </w:pPr>
    </w:p>
    <w:p w:rsidR="00E23DFA" w:rsidRPr="00465F2B" w:rsidRDefault="00E23DFA" w:rsidP="002A1AD3">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6. Among the faculties, the Faculty of "Physics and Mathematics" takes the 1st pla</w:t>
      </w:r>
      <w:r w:rsidR="002A1AD3" w:rsidRPr="00465F2B">
        <w:rPr>
          <w:rFonts w:ascii="Times New Roman" w:hAnsi="Times New Roman" w:cs="Times New Roman"/>
          <w:sz w:val="24"/>
          <w:szCs w:val="24"/>
          <w:lang w:val="en-US"/>
        </w:rPr>
        <w:t xml:space="preserve">ce in the average score of </w:t>
      </w:r>
      <w:r w:rsidR="002A1AD3" w:rsidRPr="00465F2B">
        <w:rPr>
          <w:rFonts w:ascii="Times New Roman" w:eastAsia="Times New Roman" w:hAnsi="Times New Roman" w:cs="Times New Roman"/>
          <w:bCs/>
          <w:sz w:val="24"/>
          <w:szCs w:val="24"/>
          <w:lang w:val="kk-KZ"/>
        </w:rPr>
        <w:t>Educational and methodological</w:t>
      </w:r>
      <w:r w:rsidR="002A1AD3" w:rsidRPr="00465F2B">
        <w:rPr>
          <w:rFonts w:ascii="Times New Roman" w:eastAsia="Times New Roman" w:hAnsi="Times New Roman" w:cs="Times New Roman"/>
          <w:bCs/>
          <w:sz w:val="24"/>
          <w:szCs w:val="24"/>
          <w:lang w:val="en-US"/>
        </w:rPr>
        <w:t>, Pedagogical Works</w:t>
      </w:r>
      <w:r w:rsidRPr="00465F2B">
        <w:rPr>
          <w:rFonts w:ascii="Times New Roman" w:hAnsi="Times New Roman" w:cs="Times New Roman"/>
          <w:sz w:val="24"/>
          <w:szCs w:val="24"/>
          <w:lang w:val="en-US"/>
        </w:rPr>
        <w:t>, the Faculty of "Natural Science" in terms of educational and methodological work and educational work.</w:t>
      </w:r>
    </w:p>
    <w:p w:rsidR="00E51DD2" w:rsidRPr="00465F2B" w:rsidRDefault="00E51DD2" w:rsidP="00E51DD2">
      <w:pPr>
        <w:spacing w:after="0" w:line="240" w:lineRule="auto"/>
        <w:jc w:val="both"/>
        <w:rPr>
          <w:rFonts w:ascii="Times New Roman" w:hAnsi="Times New Roman" w:cs="Times New Roman"/>
          <w:sz w:val="24"/>
          <w:szCs w:val="24"/>
          <w:lang w:val="en-US"/>
        </w:rPr>
      </w:pPr>
    </w:p>
    <w:p w:rsidR="00E51DD2" w:rsidRPr="00465F2B" w:rsidRDefault="00E51DD2" w:rsidP="00E51DD2">
      <w:pPr>
        <w:spacing w:after="0" w:line="240" w:lineRule="auto"/>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7. Professors-teachers who showed the highest rating for the faculty:</w:t>
      </w:r>
    </w:p>
    <w:p w:rsidR="00E51DD2" w:rsidRPr="00A75B4F" w:rsidRDefault="00E51DD2" w:rsidP="00E51DD2">
      <w:pPr>
        <w:spacing w:after="0" w:line="240" w:lineRule="auto"/>
        <w:jc w:val="both"/>
        <w:rPr>
          <w:rFonts w:ascii="Times New Roman" w:hAnsi="Times New Roman" w:cs="Times New Roman"/>
          <w:sz w:val="24"/>
          <w:szCs w:val="24"/>
          <w:lang w:val="en-US"/>
        </w:rPr>
      </w:pPr>
    </w:p>
    <w:tbl>
      <w:tblPr>
        <w:tblW w:w="9762" w:type="dxa"/>
        <w:tblInd w:w="93" w:type="dxa"/>
        <w:tblLook w:val="04A0" w:firstRow="1" w:lastRow="0" w:firstColumn="1" w:lastColumn="0" w:noHBand="0" w:noVBand="1"/>
      </w:tblPr>
      <w:tblGrid>
        <w:gridCol w:w="458"/>
        <w:gridCol w:w="3526"/>
        <w:gridCol w:w="4782"/>
        <w:gridCol w:w="996"/>
      </w:tblGrid>
      <w:tr w:rsidR="00E51DD2" w:rsidRPr="00465F2B" w:rsidTr="00EE41A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hideMark/>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w:t>
            </w:r>
          </w:p>
        </w:tc>
        <w:tc>
          <w:tcPr>
            <w:tcW w:w="3526" w:type="dxa"/>
            <w:tcBorders>
              <w:top w:val="single" w:sz="4" w:space="0" w:color="auto"/>
              <w:left w:val="nil"/>
              <w:bottom w:val="single" w:sz="4" w:space="0" w:color="auto"/>
              <w:right w:val="single" w:sz="4" w:space="0" w:color="auto"/>
            </w:tcBorders>
            <w:shd w:val="clear" w:color="auto" w:fill="auto"/>
            <w:noWrap/>
          </w:tcPr>
          <w:p w:rsidR="00E51DD2" w:rsidRPr="00465F2B" w:rsidRDefault="00E51DD2" w:rsidP="00EE41AC">
            <w:pPr>
              <w:rPr>
                <w:rFonts w:ascii="Times New Roman" w:hAnsi="Times New Roman" w:cs="Times New Roman"/>
                <w:sz w:val="24"/>
                <w:szCs w:val="24"/>
              </w:rPr>
            </w:pPr>
            <w:proofErr w:type="spellStart"/>
            <w:r w:rsidRPr="00465F2B">
              <w:rPr>
                <w:rFonts w:ascii="Times New Roman" w:eastAsia="Times New Roman" w:hAnsi="Times New Roman" w:cs="Times New Roman"/>
                <w:b/>
                <w:bCs/>
                <w:sz w:val="24"/>
                <w:szCs w:val="24"/>
              </w:rPr>
              <w:t>Name</w:t>
            </w:r>
            <w:proofErr w:type="spellEnd"/>
            <w:r w:rsidRPr="00465F2B">
              <w:rPr>
                <w:rFonts w:ascii="Times New Roman" w:eastAsia="Times New Roman" w:hAnsi="Times New Roman" w:cs="Times New Roman"/>
                <w:b/>
                <w:bCs/>
                <w:sz w:val="24"/>
                <w:szCs w:val="24"/>
              </w:rPr>
              <w:t xml:space="preserve"> </w:t>
            </w:r>
            <w:proofErr w:type="spellStart"/>
            <w:r w:rsidRPr="00465F2B">
              <w:rPr>
                <w:rFonts w:ascii="Times New Roman" w:eastAsia="Times New Roman" w:hAnsi="Times New Roman" w:cs="Times New Roman"/>
                <w:b/>
                <w:bCs/>
                <w:sz w:val="24"/>
                <w:szCs w:val="24"/>
              </w:rPr>
              <w:t>of</w:t>
            </w:r>
            <w:proofErr w:type="spellEnd"/>
            <w:r w:rsidRPr="00465F2B">
              <w:rPr>
                <w:rFonts w:ascii="Times New Roman" w:eastAsia="Times New Roman" w:hAnsi="Times New Roman" w:cs="Times New Roman"/>
                <w:b/>
                <w:bCs/>
                <w:sz w:val="24"/>
                <w:szCs w:val="24"/>
              </w:rPr>
              <w:t xml:space="preserve"> </w:t>
            </w:r>
            <w:proofErr w:type="spellStart"/>
            <w:r w:rsidRPr="00465F2B">
              <w:rPr>
                <w:rFonts w:ascii="Times New Roman" w:eastAsia="Times New Roman" w:hAnsi="Times New Roman" w:cs="Times New Roman"/>
                <w:b/>
                <w:bCs/>
                <w:sz w:val="24"/>
                <w:szCs w:val="24"/>
              </w:rPr>
              <w:t>the</w:t>
            </w:r>
            <w:proofErr w:type="spellEnd"/>
            <w:r w:rsidRPr="00465F2B">
              <w:rPr>
                <w:rFonts w:ascii="Times New Roman" w:eastAsia="Times New Roman" w:hAnsi="Times New Roman" w:cs="Times New Roman"/>
                <w:b/>
                <w:bCs/>
                <w:sz w:val="24"/>
                <w:szCs w:val="24"/>
              </w:rPr>
              <w:t xml:space="preserve"> </w:t>
            </w:r>
            <w:proofErr w:type="spellStart"/>
            <w:r w:rsidRPr="00465F2B">
              <w:rPr>
                <w:rFonts w:ascii="Times New Roman" w:eastAsia="Times New Roman" w:hAnsi="Times New Roman" w:cs="Times New Roman"/>
                <w:b/>
                <w:bCs/>
                <w:sz w:val="24"/>
                <w:szCs w:val="24"/>
              </w:rPr>
              <w:t>faculty</w:t>
            </w:r>
            <w:proofErr w:type="spellEnd"/>
          </w:p>
        </w:tc>
        <w:tc>
          <w:tcPr>
            <w:tcW w:w="4782" w:type="dxa"/>
            <w:tcBorders>
              <w:top w:val="single" w:sz="4" w:space="0" w:color="auto"/>
              <w:left w:val="nil"/>
              <w:bottom w:val="single" w:sz="4" w:space="0" w:color="auto"/>
              <w:right w:val="single" w:sz="4" w:space="0" w:color="auto"/>
            </w:tcBorders>
          </w:tcPr>
          <w:p w:rsidR="00E51DD2" w:rsidRPr="00465F2B" w:rsidRDefault="00E51DD2" w:rsidP="00E51DD2">
            <w:pPr>
              <w:jc w:val="center"/>
              <w:rPr>
                <w:rFonts w:ascii="Times New Roman" w:hAnsi="Times New Roman" w:cs="Times New Roman"/>
                <w:sz w:val="24"/>
                <w:szCs w:val="24"/>
              </w:rPr>
            </w:pPr>
            <w:r w:rsidRPr="00465F2B">
              <w:rPr>
                <w:rFonts w:ascii="Times New Roman" w:hAnsi="Times New Roman" w:cs="Times New Roman"/>
                <w:b/>
                <w:sz w:val="24"/>
                <w:szCs w:val="24"/>
              </w:rPr>
              <w:t>L.N. F.N., P.</w:t>
            </w:r>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lang w:val="en-US"/>
              </w:rPr>
            </w:pPr>
            <w:r w:rsidRPr="00465F2B">
              <w:rPr>
                <w:rFonts w:ascii="Times New Roman" w:hAnsi="Times New Roman" w:cs="Times New Roman"/>
                <w:b/>
                <w:sz w:val="24"/>
                <w:szCs w:val="24"/>
                <w:lang w:val="kk-KZ"/>
              </w:rPr>
              <w:t>score</w:t>
            </w:r>
          </w:p>
        </w:tc>
      </w:tr>
      <w:tr w:rsidR="00E51DD2" w:rsidRPr="00465F2B" w:rsidTr="00EE41AC">
        <w:trPr>
          <w:trHeight w:val="283"/>
        </w:trPr>
        <w:tc>
          <w:tcPr>
            <w:tcW w:w="458" w:type="dxa"/>
            <w:tcBorders>
              <w:top w:val="single" w:sz="4" w:space="0" w:color="auto"/>
              <w:left w:val="single" w:sz="4" w:space="0" w:color="auto"/>
              <w:bottom w:val="single" w:sz="4" w:space="0" w:color="auto"/>
              <w:right w:val="single" w:sz="4" w:space="0" w:color="auto"/>
            </w:tcBorders>
            <w:shd w:val="clear" w:color="auto" w:fill="auto"/>
            <w:noWrap/>
            <w:hideMark/>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1</w:t>
            </w:r>
          </w:p>
        </w:tc>
        <w:tc>
          <w:tcPr>
            <w:tcW w:w="3526" w:type="dxa"/>
            <w:tcBorders>
              <w:top w:val="single" w:sz="4" w:space="0" w:color="auto"/>
              <w:left w:val="nil"/>
              <w:bottom w:val="single" w:sz="4" w:space="0" w:color="auto"/>
              <w:right w:val="single" w:sz="4" w:space="0" w:color="auto"/>
            </w:tcBorders>
            <w:shd w:val="clear" w:color="auto" w:fill="auto"/>
            <w:noWrap/>
            <w:hideMark/>
          </w:tcPr>
          <w:p w:rsidR="00E51DD2" w:rsidRPr="00465F2B" w:rsidRDefault="00E51DD2" w:rsidP="00EE41AC">
            <w:pPr>
              <w:spacing w:after="0" w:line="240" w:lineRule="auto"/>
              <w:rPr>
                <w:rFonts w:ascii="Times New Roman" w:eastAsia="Times New Roman" w:hAnsi="Times New Roman" w:cs="Times New Roman"/>
                <w:sz w:val="24"/>
                <w:szCs w:val="24"/>
              </w:rPr>
            </w:pPr>
            <w:proofErr w:type="spellStart"/>
            <w:r w:rsidRPr="00465F2B">
              <w:rPr>
                <w:rFonts w:ascii="Times New Roman" w:eastAsia="Times New Roman" w:hAnsi="Times New Roman" w:cs="Times New Roman"/>
                <w:sz w:val="24"/>
                <w:szCs w:val="24"/>
              </w:rPr>
              <w:t>Physics-Mathematics</w:t>
            </w:r>
            <w:proofErr w:type="spellEnd"/>
          </w:p>
        </w:tc>
        <w:tc>
          <w:tcPr>
            <w:tcW w:w="4782"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Kadirbaeva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Roza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Iztleuovna</w:t>
            </w:r>
            <w:proofErr w:type="spellEnd"/>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1711</w:t>
            </w:r>
          </w:p>
        </w:tc>
      </w:tr>
      <w:tr w:rsidR="00E51DD2" w:rsidRPr="00465F2B" w:rsidTr="00EE41AC">
        <w:trPr>
          <w:trHeight w:val="305"/>
        </w:trPr>
        <w:tc>
          <w:tcPr>
            <w:tcW w:w="458" w:type="dxa"/>
            <w:tcBorders>
              <w:top w:val="single" w:sz="4" w:space="0" w:color="auto"/>
              <w:left w:val="single" w:sz="4" w:space="0" w:color="auto"/>
              <w:bottom w:val="single" w:sz="4" w:space="0" w:color="auto"/>
              <w:right w:val="single" w:sz="4" w:space="0" w:color="auto"/>
            </w:tcBorders>
            <w:shd w:val="clear" w:color="auto" w:fill="auto"/>
            <w:noWrap/>
            <w:hideMark/>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2</w:t>
            </w:r>
          </w:p>
        </w:tc>
        <w:tc>
          <w:tcPr>
            <w:tcW w:w="3526" w:type="dxa"/>
            <w:tcBorders>
              <w:top w:val="single" w:sz="4" w:space="0" w:color="auto"/>
              <w:left w:val="nil"/>
              <w:bottom w:val="single" w:sz="4" w:space="0" w:color="auto"/>
              <w:right w:val="single" w:sz="4" w:space="0" w:color="auto"/>
            </w:tcBorders>
            <w:shd w:val="clear" w:color="auto" w:fill="auto"/>
            <w:noWrap/>
          </w:tcPr>
          <w:p w:rsidR="00E51DD2" w:rsidRPr="00465F2B" w:rsidRDefault="00E51DD2" w:rsidP="00EE41AC">
            <w:pPr>
              <w:rPr>
                <w:rFonts w:ascii="Times New Roman" w:hAnsi="Times New Roman" w:cs="Times New Roman"/>
                <w:sz w:val="24"/>
                <w:szCs w:val="24"/>
                <w:lang w:val="en-US"/>
              </w:rPr>
            </w:pPr>
            <w:proofErr w:type="spellStart"/>
            <w:r w:rsidRPr="00465F2B">
              <w:rPr>
                <w:rFonts w:ascii="Times New Roman" w:eastAsia="Times New Roman" w:hAnsi="Times New Roman" w:cs="Times New Roman"/>
                <w:sz w:val="24"/>
                <w:szCs w:val="24"/>
              </w:rPr>
              <w:t>Philology</w:t>
            </w:r>
            <w:proofErr w:type="spellEnd"/>
          </w:p>
        </w:tc>
        <w:tc>
          <w:tcPr>
            <w:tcW w:w="4782"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proofErr w:type="spellStart"/>
            <w:r w:rsidRPr="00465F2B">
              <w:rPr>
                <w:rFonts w:ascii="Times New Roman" w:eastAsia="Times New Roman" w:hAnsi="Times New Roman" w:cs="Times New Roman"/>
                <w:color w:val="000000"/>
                <w:sz w:val="24"/>
                <w:szCs w:val="24"/>
              </w:rPr>
              <w:t>Nurimanov</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Bekarys</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Tlegenovich</w:t>
            </w:r>
            <w:proofErr w:type="spellEnd"/>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1255</w:t>
            </w:r>
          </w:p>
        </w:tc>
      </w:tr>
      <w:tr w:rsidR="00E51DD2" w:rsidRPr="00465F2B" w:rsidTr="00EE41AC">
        <w:trPr>
          <w:trHeight w:val="315"/>
        </w:trPr>
        <w:tc>
          <w:tcPr>
            <w:tcW w:w="458" w:type="dxa"/>
            <w:tcBorders>
              <w:top w:val="nil"/>
              <w:left w:val="single" w:sz="4" w:space="0" w:color="auto"/>
              <w:bottom w:val="single" w:sz="4" w:space="0" w:color="auto"/>
              <w:right w:val="single" w:sz="4" w:space="0" w:color="auto"/>
            </w:tcBorders>
            <w:shd w:val="clear" w:color="auto" w:fill="auto"/>
            <w:noWrap/>
            <w:hideMark/>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3</w:t>
            </w:r>
          </w:p>
        </w:tc>
        <w:tc>
          <w:tcPr>
            <w:tcW w:w="3526" w:type="dxa"/>
            <w:tcBorders>
              <w:top w:val="nil"/>
              <w:left w:val="nil"/>
              <w:bottom w:val="single" w:sz="4" w:space="0" w:color="auto"/>
              <w:right w:val="single" w:sz="4" w:space="0" w:color="auto"/>
            </w:tcBorders>
            <w:shd w:val="clear" w:color="auto" w:fill="auto"/>
            <w:noWrap/>
          </w:tcPr>
          <w:p w:rsidR="00E51DD2" w:rsidRPr="00465F2B" w:rsidRDefault="00E51DD2" w:rsidP="00EE41AC">
            <w:pPr>
              <w:spacing w:after="0" w:line="240" w:lineRule="auto"/>
              <w:rPr>
                <w:rFonts w:ascii="Times New Roman" w:eastAsia="Times New Roman" w:hAnsi="Times New Roman" w:cs="Times New Roman"/>
                <w:sz w:val="24"/>
                <w:szCs w:val="24"/>
                <w:lang w:val="en-US"/>
              </w:rPr>
            </w:pPr>
            <w:r w:rsidRPr="00465F2B">
              <w:rPr>
                <w:rFonts w:ascii="Times New Roman" w:eastAsia="Times New Roman" w:hAnsi="Times New Roman" w:cs="Times New Roman"/>
                <w:sz w:val="24"/>
                <w:szCs w:val="24"/>
                <w:lang w:val="kk-KZ"/>
              </w:rPr>
              <w:t>History and pedagogy</w:t>
            </w:r>
          </w:p>
        </w:tc>
        <w:tc>
          <w:tcPr>
            <w:tcW w:w="4782"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eastAsia="Times New Roman" w:hAnsi="Times New Roman" w:cs="Times New Roman"/>
                <w:color w:val="000000"/>
                <w:sz w:val="24"/>
                <w:szCs w:val="24"/>
              </w:rPr>
            </w:pPr>
            <w:proofErr w:type="spellStart"/>
            <w:r w:rsidRPr="00465F2B">
              <w:rPr>
                <w:rFonts w:ascii="Times New Roman" w:eastAsia="Times New Roman" w:hAnsi="Times New Roman" w:cs="Times New Roman"/>
                <w:color w:val="000000"/>
                <w:sz w:val="24"/>
                <w:szCs w:val="24"/>
              </w:rPr>
              <w:t>Masalieva</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Zhanar</w:t>
            </w:r>
            <w:proofErr w:type="spellEnd"/>
            <w:r w:rsidRPr="00465F2B">
              <w:rPr>
                <w:rFonts w:ascii="Times New Roman" w:eastAsia="Times New Roman" w:hAnsi="Times New Roman" w:cs="Times New Roman"/>
                <w:color w:val="000000"/>
                <w:sz w:val="24"/>
                <w:szCs w:val="24"/>
              </w:rPr>
              <w:t xml:space="preserve"> </w:t>
            </w:r>
            <w:proofErr w:type="spellStart"/>
            <w:r w:rsidRPr="00465F2B">
              <w:rPr>
                <w:rFonts w:ascii="Times New Roman" w:eastAsia="Times New Roman" w:hAnsi="Times New Roman" w:cs="Times New Roman"/>
                <w:color w:val="000000"/>
                <w:sz w:val="24"/>
                <w:szCs w:val="24"/>
              </w:rPr>
              <w:t>Amalbayevna</w:t>
            </w:r>
            <w:proofErr w:type="spellEnd"/>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1240</w:t>
            </w:r>
          </w:p>
        </w:tc>
      </w:tr>
      <w:tr w:rsidR="00E51DD2" w:rsidRPr="00465F2B" w:rsidTr="00EE41AC">
        <w:trPr>
          <w:trHeight w:val="315"/>
        </w:trPr>
        <w:tc>
          <w:tcPr>
            <w:tcW w:w="458" w:type="dxa"/>
            <w:tcBorders>
              <w:top w:val="nil"/>
              <w:left w:val="single" w:sz="4" w:space="0" w:color="auto"/>
              <w:bottom w:val="single" w:sz="4" w:space="0" w:color="auto"/>
              <w:right w:val="single" w:sz="4" w:space="0" w:color="auto"/>
            </w:tcBorders>
            <w:shd w:val="clear" w:color="auto" w:fill="auto"/>
            <w:noWrap/>
            <w:hideMark/>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4</w:t>
            </w:r>
          </w:p>
        </w:tc>
        <w:tc>
          <w:tcPr>
            <w:tcW w:w="3526" w:type="dxa"/>
            <w:tcBorders>
              <w:top w:val="nil"/>
              <w:left w:val="nil"/>
              <w:bottom w:val="single" w:sz="4" w:space="0" w:color="auto"/>
              <w:right w:val="single" w:sz="4" w:space="0" w:color="auto"/>
            </w:tcBorders>
            <w:shd w:val="clear" w:color="auto" w:fill="auto"/>
            <w:noWrap/>
          </w:tcPr>
          <w:p w:rsidR="00E51DD2" w:rsidRPr="00465F2B" w:rsidRDefault="00E51DD2" w:rsidP="00EE41AC">
            <w:pPr>
              <w:spacing w:after="0" w:line="240" w:lineRule="auto"/>
              <w:rPr>
                <w:rFonts w:ascii="Times New Roman" w:eastAsia="Times New Roman" w:hAnsi="Times New Roman" w:cs="Times New Roman"/>
                <w:sz w:val="24"/>
                <w:szCs w:val="24"/>
                <w:lang w:val="en-US"/>
              </w:rPr>
            </w:pPr>
            <w:r w:rsidRPr="00465F2B">
              <w:rPr>
                <w:rFonts w:ascii="Times New Roman" w:eastAsia="Times New Roman" w:hAnsi="Times New Roman" w:cs="Times New Roman"/>
                <w:sz w:val="24"/>
                <w:szCs w:val="24"/>
                <w:lang w:val="kk-KZ"/>
              </w:rPr>
              <w:t>Natural Sciences</w:t>
            </w:r>
          </w:p>
        </w:tc>
        <w:tc>
          <w:tcPr>
            <w:tcW w:w="4782"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eastAsia="Times New Roman" w:hAnsi="Times New Roman" w:cs="Times New Roman"/>
                <w:color w:val="000000"/>
                <w:sz w:val="24"/>
                <w:szCs w:val="24"/>
                <w:lang w:val="kk-KZ"/>
              </w:rPr>
              <w:t>Bitemirova Aliya Yerkegulovna</w:t>
            </w:r>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1219</w:t>
            </w:r>
          </w:p>
        </w:tc>
      </w:tr>
      <w:tr w:rsidR="00E51DD2" w:rsidRPr="00465F2B" w:rsidTr="00EE41AC">
        <w:trPr>
          <w:trHeight w:val="315"/>
        </w:trPr>
        <w:tc>
          <w:tcPr>
            <w:tcW w:w="458" w:type="dxa"/>
            <w:tcBorders>
              <w:top w:val="nil"/>
              <w:left w:val="single" w:sz="4" w:space="0" w:color="auto"/>
              <w:bottom w:val="single" w:sz="4" w:space="0" w:color="auto"/>
              <w:right w:val="single" w:sz="4" w:space="0" w:color="auto"/>
            </w:tcBorders>
            <w:shd w:val="clear" w:color="auto" w:fill="auto"/>
            <w:noWrap/>
            <w:hideMark/>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5</w:t>
            </w:r>
          </w:p>
        </w:tc>
        <w:tc>
          <w:tcPr>
            <w:tcW w:w="3526" w:type="dxa"/>
            <w:tcBorders>
              <w:top w:val="nil"/>
              <w:left w:val="nil"/>
              <w:bottom w:val="single" w:sz="4" w:space="0" w:color="auto"/>
              <w:right w:val="single" w:sz="4" w:space="0" w:color="auto"/>
            </w:tcBorders>
            <w:shd w:val="clear" w:color="auto" w:fill="auto"/>
            <w:noWrap/>
          </w:tcPr>
          <w:p w:rsidR="00E51DD2" w:rsidRPr="00465F2B" w:rsidRDefault="00E51DD2" w:rsidP="00EE41AC">
            <w:pPr>
              <w:spacing w:after="0" w:line="240" w:lineRule="auto"/>
              <w:rPr>
                <w:rFonts w:ascii="Times New Roman" w:eastAsia="Times New Roman" w:hAnsi="Times New Roman" w:cs="Times New Roman"/>
                <w:sz w:val="24"/>
                <w:szCs w:val="24"/>
                <w:lang w:val="en-US"/>
              </w:rPr>
            </w:pPr>
            <w:r w:rsidRPr="00465F2B">
              <w:rPr>
                <w:rFonts w:ascii="Times New Roman" w:eastAsia="Times New Roman" w:hAnsi="Times New Roman" w:cs="Times New Roman"/>
                <w:sz w:val="24"/>
                <w:szCs w:val="24"/>
                <w:lang w:val="kk-KZ"/>
              </w:rPr>
              <w:t>Physical education and sports</w:t>
            </w:r>
          </w:p>
        </w:tc>
        <w:tc>
          <w:tcPr>
            <w:tcW w:w="4782"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proofErr w:type="spellStart"/>
            <w:r w:rsidRPr="00465F2B">
              <w:rPr>
                <w:rFonts w:ascii="Times New Roman" w:hAnsi="Times New Roman" w:cs="Times New Roman"/>
                <w:sz w:val="24"/>
                <w:szCs w:val="24"/>
              </w:rPr>
              <w:t>Ispandiyarova</w:t>
            </w:r>
            <w:proofErr w:type="spellEnd"/>
            <w:r w:rsidRPr="00465F2B">
              <w:rPr>
                <w:rFonts w:ascii="Times New Roman" w:hAnsi="Times New Roman" w:cs="Times New Roman"/>
                <w:sz w:val="24"/>
                <w:szCs w:val="24"/>
              </w:rPr>
              <w:t xml:space="preserve"> </w:t>
            </w:r>
            <w:proofErr w:type="spellStart"/>
            <w:r w:rsidRPr="00465F2B">
              <w:rPr>
                <w:rFonts w:ascii="Times New Roman" w:hAnsi="Times New Roman" w:cs="Times New Roman"/>
                <w:sz w:val="24"/>
                <w:szCs w:val="24"/>
              </w:rPr>
              <w:t>Aigul</w:t>
            </w:r>
            <w:proofErr w:type="spellEnd"/>
            <w:r w:rsidRPr="00465F2B">
              <w:rPr>
                <w:rFonts w:ascii="Times New Roman" w:hAnsi="Times New Roman" w:cs="Times New Roman"/>
                <w:sz w:val="24"/>
                <w:szCs w:val="24"/>
              </w:rPr>
              <w:t xml:space="preserve"> </w:t>
            </w:r>
            <w:proofErr w:type="spellStart"/>
            <w:r w:rsidRPr="00465F2B">
              <w:rPr>
                <w:rFonts w:ascii="Times New Roman" w:hAnsi="Times New Roman" w:cs="Times New Roman"/>
                <w:sz w:val="24"/>
                <w:szCs w:val="24"/>
              </w:rPr>
              <w:t>Madiyarovna</w:t>
            </w:r>
            <w:proofErr w:type="spellEnd"/>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703</w:t>
            </w:r>
          </w:p>
        </w:tc>
      </w:tr>
      <w:tr w:rsidR="00E51DD2" w:rsidRPr="00465F2B" w:rsidTr="00EE41A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6</w:t>
            </w:r>
          </w:p>
        </w:tc>
        <w:tc>
          <w:tcPr>
            <w:tcW w:w="3526" w:type="dxa"/>
            <w:tcBorders>
              <w:top w:val="single" w:sz="4" w:space="0" w:color="auto"/>
              <w:left w:val="nil"/>
              <w:bottom w:val="single" w:sz="4" w:space="0" w:color="auto"/>
              <w:right w:val="single" w:sz="4" w:space="0" w:color="auto"/>
            </w:tcBorders>
            <w:shd w:val="clear" w:color="auto" w:fill="auto"/>
            <w:noWrap/>
          </w:tcPr>
          <w:p w:rsidR="00E51DD2" w:rsidRPr="00465F2B" w:rsidRDefault="00E51DD2" w:rsidP="00EE41AC">
            <w:pPr>
              <w:spacing w:after="0" w:line="240" w:lineRule="auto"/>
              <w:rPr>
                <w:rFonts w:ascii="Times New Roman" w:eastAsia="Times New Roman" w:hAnsi="Times New Roman" w:cs="Times New Roman"/>
                <w:sz w:val="24"/>
                <w:szCs w:val="24"/>
                <w:lang w:val="en-US"/>
              </w:rPr>
            </w:pPr>
            <w:r w:rsidRPr="00465F2B">
              <w:rPr>
                <w:rFonts w:ascii="Times New Roman" w:eastAsia="Times New Roman" w:hAnsi="Times New Roman" w:cs="Times New Roman"/>
                <w:sz w:val="24"/>
                <w:szCs w:val="24"/>
                <w:lang w:val="kk-KZ"/>
              </w:rPr>
              <w:t>Art and education</w:t>
            </w:r>
          </w:p>
        </w:tc>
        <w:tc>
          <w:tcPr>
            <w:tcW w:w="4782"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proofErr w:type="spellStart"/>
            <w:r w:rsidRPr="00465F2B">
              <w:rPr>
                <w:rFonts w:ascii="Times New Roman" w:hAnsi="Times New Roman" w:cs="Times New Roman"/>
                <w:sz w:val="24"/>
                <w:szCs w:val="24"/>
              </w:rPr>
              <w:t>Dosbaganbetova</w:t>
            </w:r>
            <w:proofErr w:type="spellEnd"/>
            <w:r w:rsidRPr="00465F2B">
              <w:rPr>
                <w:rFonts w:ascii="Times New Roman" w:hAnsi="Times New Roman" w:cs="Times New Roman"/>
                <w:sz w:val="24"/>
                <w:szCs w:val="24"/>
              </w:rPr>
              <w:t xml:space="preserve"> </w:t>
            </w:r>
            <w:proofErr w:type="spellStart"/>
            <w:r w:rsidRPr="00465F2B">
              <w:rPr>
                <w:rFonts w:ascii="Times New Roman" w:hAnsi="Times New Roman" w:cs="Times New Roman"/>
                <w:sz w:val="24"/>
                <w:szCs w:val="24"/>
              </w:rPr>
              <w:t>Alena</w:t>
            </w:r>
            <w:proofErr w:type="spellEnd"/>
            <w:r w:rsidRPr="00465F2B">
              <w:rPr>
                <w:rFonts w:ascii="Times New Roman" w:hAnsi="Times New Roman" w:cs="Times New Roman"/>
                <w:sz w:val="24"/>
                <w:szCs w:val="24"/>
              </w:rPr>
              <w:t xml:space="preserve"> </w:t>
            </w:r>
            <w:proofErr w:type="spellStart"/>
            <w:r w:rsidRPr="00465F2B">
              <w:rPr>
                <w:rFonts w:ascii="Times New Roman" w:hAnsi="Times New Roman" w:cs="Times New Roman"/>
                <w:sz w:val="24"/>
                <w:szCs w:val="24"/>
              </w:rPr>
              <w:t>Torebekovna</w:t>
            </w:r>
            <w:proofErr w:type="spellEnd"/>
          </w:p>
        </w:tc>
        <w:tc>
          <w:tcPr>
            <w:tcW w:w="996" w:type="dxa"/>
            <w:tcBorders>
              <w:top w:val="single" w:sz="4" w:space="0" w:color="auto"/>
              <w:left w:val="nil"/>
              <w:bottom w:val="single" w:sz="4" w:space="0" w:color="auto"/>
              <w:right w:val="single" w:sz="4" w:space="0" w:color="auto"/>
            </w:tcBorders>
          </w:tcPr>
          <w:p w:rsidR="00E51DD2" w:rsidRPr="00465F2B" w:rsidRDefault="00E51DD2" w:rsidP="00EE41AC">
            <w:pPr>
              <w:rPr>
                <w:rFonts w:ascii="Times New Roman" w:hAnsi="Times New Roman" w:cs="Times New Roman"/>
                <w:sz w:val="24"/>
                <w:szCs w:val="24"/>
              </w:rPr>
            </w:pPr>
            <w:r w:rsidRPr="00465F2B">
              <w:rPr>
                <w:rFonts w:ascii="Times New Roman" w:hAnsi="Times New Roman" w:cs="Times New Roman"/>
                <w:sz w:val="24"/>
                <w:szCs w:val="24"/>
              </w:rPr>
              <w:t>528</w:t>
            </w:r>
          </w:p>
        </w:tc>
      </w:tr>
    </w:tbl>
    <w:p w:rsidR="00E51DD2" w:rsidRPr="00465F2B" w:rsidRDefault="00E51DD2" w:rsidP="00E51DD2">
      <w:pPr>
        <w:spacing w:after="0" w:line="240" w:lineRule="auto"/>
        <w:jc w:val="both"/>
        <w:rPr>
          <w:rFonts w:ascii="Times New Roman" w:hAnsi="Times New Roman" w:cs="Times New Roman"/>
          <w:sz w:val="24"/>
          <w:szCs w:val="24"/>
          <w:lang w:val="en-US"/>
        </w:rPr>
      </w:pPr>
    </w:p>
    <w:p w:rsidR="00F74156" w:rsidRPr="00465F2B" w:rsidRDefault="00F74156" w:rsidP="00F74156">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10. Among the departments, according to the overall rating score, the Department of Mathematics took the 1st place, the Department of Geography took the 2nd place, the Department of Russian Language and Literature took the 3rd place.</w:t>
      </w:r>
    </w:p>
    <w:tbl>
      <w:tblPr>
        <w:tblW w:w="101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275"/>
        <w:gridCol w:w="1776"/>
        <w:gridCol w:w="1443"/>
        <w:gridCol w:w="1281"/>
      </w:tblGrid>
      <w:tr w:rsidR="00F74156" w:rsidRPr="00465F2B" w:rsidTr="004743F4">
        <w:trPr>
          <w:trHeight w:val="315"/>
          <w:jc w:val="center"/>
        </w:trPr>
        <w:tc>
          <w:tcPr>
            <w:tcW w:w="567" w:type="dxa"/>
            <w:vMerge w:val="restart"/>
            <w:shd w:val="clear" w:color="auto" w:fill="auto"/>
            <w:noWrap/>
            <w:vAlign w:val="bottom"/>
            <w:hideMark/>
          </w:tcPr>
          <w:p w:rsidR="00F74156" w:rsidRPr="00465F2B" w:rsidRDefault="00F74156" w:rsidP="00EE41AC">
            <w:pPr>
              <w:spacing w:after="0" w:line="240" w:lineRule="auto"/>
              <w:jc w:val="center"/>
              <w:rPr>
                <w:rFonts w:ascii="Times New Roman" w:eastAsia="Times New Roman" w:hAnsi="Times New Roman" w:cs="Times New Roman"/>
                <w:b/>
                <w:bCs/>
                <w:color w:val="000000"/>
                <w:sz w:val="24"/>
                <w:szCs w:val="24"/>
                <w:lang w:val="kk-KZ"/>
              </w:rPr>
            </w:pPr>
            <w:r w:rsidRPr="00465F2B">
              <w:rPr>
                <w:rFonts w:ascii="Times New Roman" w:hAnsi="Times New Roman" w:cs="Times New Roman"/>
                <w:sz w:val="24"/>
                <w:szCs w:val="24"/>
              </w:rPr>
              <w:t>№</w:t>
            </w:r>
          </w:p>
        </w:tc>
        <w:tc>
          <w:tcPr>
            <w:tcW w:w="3828" w:type="dxa"/>
            <w:vMerge w:val="restart"/>
            <w:shd w:val="clear" w:color="auto" w:fill="auto"/>
            <w:noWrap/>
            <w:vAlign w:val="bottom"/>
            <w:hideMark/>
          </w:tcPr>
          <w:p w:rsidR="00F74156" w:rsidRPr="00465F2B" w:rsidRDefault="00F74156" w:rsidP="00EE41AC">
            <w:pPr>
              <w:spacing w:after="0" w:line="240" w:lineRule="auto"/>
              <w:jc w:val="center"/>
              <w:rPr>
                <w:rFonts w:ascii="Times New Roman" w:eastAsia="Times New Roman" w:hAnsi="Times New Roman" w:cs="Times New Roman"/>
                <w:b/>
                <w:bCs/>
                <w:color w:val="000000"/>
                <w:sz w:val="24"/>
                <w:szCs w:val="24"/>
                <w:lang w:val="en-US"/>
              </w:rPr>
            </w:pPr>
            <w:r w:rsidRPr="00465F2B">
              <w:rPr>
                <w:rFonts w:ascii="Times New Roman" w:eastAsia="Times New Roman" w:hAnsi="Times New Roman" w:cs="Times New Roman"/>
                <w:b/>
                <w:bCs/>
                <w:color w:val="000000"/>
                <w:sz w:val="24"/>
                <w:szCs w:val="24"/>
                <w:lang w:val="kk-KZ"/>
              </w:rPr>
              <w:t>Название кафедры</w:t>
            </w:r>
          </w:p>
        </w:tc>
        <w:tc>
          <w:tcPr>
            <w:tcW w:w="5775" w:type="dxa"/>
            <w:gridSpan w:val="4"/>
            <w:shd w:val="clear" w:color="auto" w:fill="auto"/>
            <w:noWrap/>
          </w:tcPr>
          <w:p w:rsidR="00F74156" w:rsidRPr="00465F2B" w:rsidRDefault="00F74156" w:rsidP="00EE41AC">
            <w:pPr>
              <w:spacing w:after="0" w:line="240" w:lineRule="auto"/>
              <w:jc w:val="center"/>
              <w:rPr>
                <w:rFonts w:ascii="Times New Roman" w:eastAsia="Times New Roman" w:hAnsi="Times New Roman" w:cs="Times New Roman"/>
                <w:b/>
                <w:bCs/>
                <w:sz w:val="24"/>
                <w:szCs w:val="24"/>
              </w:rPr>
            </w:pPr>
            <w:proofErr w:type="spellStart"/>
            <w:proofErr w:type="gramStart"/>
            <w:r w:rsidRPr="00465F2B">
              <w:rPr>
                <w:rFonts w:ascii="Times New Roman" w:eastAsia="Times New Roman" w:hAnsi="Times New Roman" w:cs="Times New Roman"/>
                <w:b/>
                <w:bCs/>
                <w:sz w:val="24"/>
                <w:szCs w:val="24"/>
              </w:rPr>
              <w:t>А</w:t>
            </w:r>
            <w:proofErr w:type="gramEnd"/>
            <w:r w:rsidRPr="00465F2B">
              <w:rPr>
                <w:rFonts w:ascii="Times New Roman" w:eastAsia="Times New Roman" w:hAnsi="Times New Roman" w:cs="Times New Roman"/>
                <w:b/>
                <w:bCs/>
                <w:sz w:val="24"/>
                <w:szCs w:val="24"/>
              </w:rPr>
              <w:t>verage</w:t>
            </w:r>
            <w:proofErr w:type="spellEnd"/>
            <w:r w:rsidRPr="00465F2B">
              <w:rPr>
                <w:rFonts w:ascii="Times New Roman" w:eastAsia="Times New Roman" w:hAnsi="Times New Roman" w:cs="Times New Roman"/>
                <w:b/>
                <w:bCs/>
                <w:sz w:val="24"/>
                <w:szCs w:val="24"/>
              </w:rPr>
              <w:t xml:space="preserve"> </w:t>
            </w:r>
            <w:proofErr w:type="spellStart"/>
            <w:r w:rsidRPr="00465F2B">
              <w:rPr>
                <w:rFonts w:ascii="Times New Roman" w:eastAsia="Times New Roman" w:hAnsi="Times New Roman" w:cs="Times New Roman"/>
                <w:b/>
                <w:bCs/>
                <w:sz w:val="24"/>
                <w:szCs w:val="24"/>
              </w:rPr>
              <w:t>score</w:t>
            </w:r>
            <w:proofErr w:type="spellEnd"/>
          </w:p>
        </w:tc>
      </w:tr>
      <w:tr w:rsidR="00F74156" w:rsidRPr="00465F2B" w:rsidTr="004743F4">
        <w:trPr>
          <w:trHeight w:val="315"/>
          <w:jc w:val="center"/>
        </w:trPr>
        <w:tc>
          <w:tcPr>
            <w:tcW w:w="567" w:type="dxa"/>
            <w:vMerge/>
            <w:vAlign w:val="center"/>
            <w:hideMark/>
          </w:tcPr>
          <w:p w:rsidR="00F74156" w:rsidRPr="00465F2B" w:rsidRDefault="00F74156" w:rsidP="00EE41AC">
            <w:pPr>
              <w:spacing w:after="0" w:line="240" w:lineRule="auto"/>
              <w:rPr>
                <w:rFonts w:ascii="Times New Roman" w:eastAsia="Times New Roman" w:hAnsi="Times New Roman" w:cs="Times New Roman"/>
                <w:b/>
                <w:bCs/>
                <w:color w:val="000000"/>
                <w:sz w:val="24"/>
                <w:szCs w:val="24"/>
              </w:rPr>
            </w:pPr>
          </w:p>
        </w:tc>
        <w:tc>
          <w:tcPr>
            <w:tcW w:w="3828" w:type="dxa"/>
            <w:vMerge/>
            <w:vAlign w:val="center"/>
            <w:hideMark/>
          </w:tcPr>
          <w:p w:rsidR="00F74156" w:rsidRPr="00465F2B" w:rsidRDefault="00F74156" w:rsidP="00EE41AC">
            <w:pPr>
              <w:spacing w:after="0" w:line="240" w:lineRule="auto"/>
              <w:rPr>
                <w:rFonts w:ascii="Times New Roman" w:eastAsia="Times New Roman" w:hAnsi="Times New Roman" w:cs="Times New Roman"/>
                <w:b/>
                <w:bCs/>
                <w:color w:val="000000"/>
                <w:sz w:val="24"/>
                <w:szCs w:val="24"/>
              </w:rPr>
            </w:pPr>
          </w:p>
        </w:tc>
        <w:tc>
          <w:tcPr>
            <w:tcW w:w="1275" w:type="dxa"/>
            <w:shd w:val="clear" w:color="auto" w:fill="auto"/>
            <w:noWrap/>
          </w:tcPr>
          <w:p w:rsidR="00F74156" w:rsidRPr="00465F2B" w:rsidRDefault="00F74156" w:rsidP="00EE41AC">
            <w:pPr>
              <w:spacing w:after="0" w:line="240" w:lineRule="auto"/>
              <w:rPr>
                <w:rFonts w:ascii="Times New Roman" w:eastAsia="Times New Roman" w:hAnsi="Times New Roman" w:cs="Times New Roman"/>
                <w:b/>
                <w:bCs/>
                <w:sz w:val="24"/>
                <w:szCs w:val="24"/>
                <w:lang w:val="en-US"/>
              </w:rPr>
            </w:pPr>
            <w:r w:rsidRPr="00465F2B">
              <w:rPr>
                <w:rFonts w:ascii="Times New Roman" w:eastAsia="Times New Roman" w:hAnsi="Times New Roman" w:cs="Times New Roman"/>
                <w:b/>
                <w:bCs/>
                <w:sz w:val="24"/>
                <w:szCs w:val="24"/>
                <w:lang w:val="en-US"/>
              </w:rPr>
              <w:t>R</w:t>
            </w:r>
            <w:r w:rsidRPr="00465F2B">
              <w:rPr>
                <w:rFonts w:ascii="Times New Roman" w:eastAsia="Times New Roman" w:hAnsi="Times New Roman" w:cs="Times New Roman"/>
                <w:b/>
                <w:bCs/>
                <w:sz w:val="24"/>
                <w:szCs w:val="24"/>
                <w:lang w:val="kk-KZ"/>
              </w:rPr>
              <w:t xml:space="preserve">esearch </w:t>
            </w:r>
            <w:r w:rsidRPr="00465F2B">
              <w:rPr>
                <w:rFonts w:ascii="Times New Roman" w:eastAsia="Times New Roman" w:hAnsi="Times New Roman" w:cs="Times New Roman"/>
                <w:b/>
                <w:bCs/>
                <w:sz w:val="24"/>
                <w:szCs w:val="24"/>
                <w:lang w:val="en-US"/>
              </w:rPr>
              <w:t>W</w:t>
            </w:r>
            <w:r w:rsidRPr="00465F2B">
              <w:rPr>
                <w:rFonts w:ascii="Times New Roman" w:eastAsia="Times New Roman" w:hAnsi="Times New Roman" w:cs="Times New Roman"/>
                <w:b/>
                <w:bCs/>
                <w:sz w:val="24"/>
                <w:szCs w:val="24"/>
                <w:lang w:val="kk-KZ"/>
              </w:rPr>
              <w:t>ork (</w:t>
            </w:r>
            <w:r w:rsidRPr="00465F2B">
              <w:rPr>
                <w:rFonts w:ascii="Times New Roman" w:eastAsia="Times New Roman" w:hAnsi="Times New Roman" w:cs="Times New Roman"/>
                <w:b/>
                <w:bCs/>
                <w:sz w:val="24"/>
                <w:szCs w:val="24"/>
                <w:lang w:val="en-US"/>
              </w:rPr>
              <w:t>RW)</w:t>
            </w:r>
          </w:p>
        </w:tc>
        <w:tc>
          <w:tcPr>
            <w:tcW w:w="1776" w:type="dxa"/>
            <w:shd w:val="clear" w:color="auto" w:fill="auto"/>
            <w:noWrap/>
          </w:tcPr>
          <w:p w:rsidR="00F74156" w:rsidRPr="00465F2B" w:rsidRDefault="00F74156" w:rsidP="00EE41AC">
            <w:pPr>
              <w:spacing w:after="0" w:line="240" w:lineRule="auto"/>
              <w:jc w:val="center"/>
              <w:rPr>
                <w:rFonts w:ascii="Times New Roman" w:eastAsia="Times New Roman" w:hAnsi="Times New Roman" w:cs="Times New Roman"/>
                <w:b/>
                <w:bCs/>
                <w:sz w:val="24"/>
                <w:szCs w:val="24"/>
                <w:lang w:val="en-US"/>
              </w:rPr>
            </w:pPr>
            <w:r w:rsidRPr="00465F2B">
              <w:rPr>
                <w:rFonts w:ascii="Times New Roman" w:eastAsia="Times New Roman" w:hAnsi="Times New Roman" w:cs="Times New Roman"/>
                <w:b/>
                <w:bCs/>
                <w:sz w:val="24"/>
                <w:szCs w:val="24"/>
                <w:lang w:val="kk-KZ"/>
              </w:rPr>
              <w:t>Educational and methodological work</w:t>
            </w:r>
            <w:r w:rsidRPr="00465F2B">
              <w:rPr>
                <w:rFonts w:ascii="Times New Roman" w:eastAsia="Times New Roman" w:hAnsi="Times New Roman" w:cs="Times New Roman"/>
                <w:b/>
                <w:bCs/>
                <w:sz w:val="24"/>
                <w:szCs w:val="24"/>
                <w:lang w:val="en-US"/>
              </w:rPr>
              <w:t xml:space="preserve"> (EMW)</w:t>
            </w:r>
          </w:p>
        </w:tc>
        <w:tc>
          <w:tcPr>
            <w:tcW w:w="1443" w:type="dxa"/>
            <w:shd w:val="clear" w:color="auto" w:fill="auto"/>
            <w:noWrap/>
          </w:tcPr>
          <w:p w:rsidR="00F74156" w:rsidRPr="00465F2B" w:rsidRDefault="00F74156" w:rsidP="00EE41AC">
            <w:pPr>
              <w:spacing w:after="0" w:line="240" w:lineRule="auto"/>
              <w:jc w:val="center"/>
              <w:rPr>
                <w:rFonts w:ascii="Times New Roman" w:eastAsia="Times New Roman" w:hAnsi="Times New Roman" w:cs="Times New Roman"/>
                <w:b/>
                <w:bCs/>
                <w:sz w:val="24"/>
                <w:szCs w:val="24"/>
                <w:lang w:val="en-US"/>
              </w:rPr>
            </w:pPr>
            <w:r w:rsidRPr="00465F2B">
              <w:rPr>
                <w:rFonts w:ascii="Times New Roman" w:eastAsia="Times New Roman" w:hAnsi="Times New Roman" w:cs="Times New Roman"/>
                <w:b/>
                <w:bCs/>
                <w:sz w:val="24"/>
                <w:szCs w:val="24"/>
                <w:lang w:val="en-US"/>
              </w:rPr>
              <w:t>P</w:t>
            </w:r>
            <w:proofErr w:type="spellStart"/>
            <w:r w:rsidRPr="00465F2B">
              <w:rPr>
                <w:rFonts w:ascii="Times New Roman" w:eastAsia="Times New Roman" w:hAnsi="Times New Roman" w:cs="Times New Roman"/>
                <w:b/>
                <w:bCs/>
                <w:sz w:val="24"/>
                <w:szCs w:val="24"/>
              </w:rPr>
              <w:t>edagogical</w:t>
            </w:r>
            <w:proofErr w:type="spellEnd"/>
            <w:r w:rsidRPr="00465F2B">
              <w:rPr>
                <w:rFonts w:ascii="Times New Roman" w:eastAsia="Times New Roman" w:hAnsi="Times New Roman" w:cs="Times New Roman"/>
                <w:b/>
                <w:bCs/>
                <w:sz w:val="24"/>
                <w:szCs w:val="24"/>
              </w:rPr>
              <w:t xml:space="preserve"> </w:t>
            </w:r>
            <w:r w:rsidRPr="00465F2B">
              <w:rPr>
                <w:rFonts w:ascii="Times New Roman" w:eastAsia="Times New Roman" w:hAnsi="Times New Roman" w:cs="Times New Roman"/>
                <w:b/>
                <w:bCs/>
                <w:sz w:val="24"/>
                <w:szCs w:val="24"/>
                <w:lang w:val="en-US"/>
              </w:rPr>
              <w:t>W</w:t>
            </w:r>
            <w:proofErr w:type="spellStart"/>
            <w:r w:rsidRPr="00465F2B">
              <w:rPr>
                <w:rFonts w:ascii="Times New Roman" w:eastAsia="Times New Roman" w:hAnsi="Times New Roman" w:cs="Times New Roman"/>
                <w:b/>
                <w:bCs/>
                <w:sz w:val="24"/>
                <w:szCs w:val="24"/>
              </w:rPr>
              <w:t>ork</w:t>
            </w:r>
            <w:proofErr w:type="spellEnd"/>
          </w:p>
          <w:p w:rsidR="00F74156" w:rsidRPr="00465F2B" w:rsidRDefault="00F74156" w:rsidP="00EE41AC">
            <w:pPr>
              <w:spacing w:after="0" w:line="240" w:lineRule="auto"/>
              <w:jc w:val="center"/>
              <w:rPr>
                <w:rFonts w:ascii="Times New Roman" w:eastAsia="Times New Roman" w:hAnsi="Times New Roman" w:cs="Times New Roman"/>
                <w:b/>
                <w:bCs/>
                <w:sz w:val="24"/>
                <w:szCs w:val="24"/>
                <w:lang w:val="en-US"/>
              </w:rPr>
            </w:pPr>
            <w:r w:rsidRPr="00465F2B">
              <w:rPr>
                <w:rFonts w:ascii="Times New Roman" w:eastAsia="Times New Roman" w:hAnsi="Times New Roman" w:cs="Times New Roman"/>
                <w:b/>
                <w:bCs/>
                <w:sz w:val="24"/>
                <w:szCs w:val="24"/>
              </w:rPr>
              <w:t>(</w:t>
            </w:r>
            <w:r w:rsidRPr="00465F2B">
              <w:rPr>
                <w:rFonts w:ascii="Times New Roman" w:eastAsia="Times New Roman" w:hAnsi="Times New Roman" w:cs="Times New Roman"/>
                <w:b/>
                <w:bCs/>
                <w:sz w:val="24"/>
                <w:szCs w:val="24"/>
                <w:lang w:val="en-US"/>
              </w:rPr>
              <w:t>PW</w:t>
            </w:r>
            <w:r w:rsidRPr="00465F2B">
              <w:rPr>
                <w:rFonts w:ascii="Times New Roman" w:eastAsia="Times New Roman" w:hAnsi="Times New Roman" w:cs="Times New Roman"/>
                <w:b/>
                <w:bCs/>
                <w:sz w:val="24"/>
                <w:szCs w:val="24"/>
              </w:rPr>
              <w:t>)</w:t>
            </w:r>
          </w:p>
        </w:tc>
        <w:tc>
          <w:tcPr>
            <w:tcW w:w="1281" w:type="dxa"/>
            <w:shd w:val="clear" w:color="auto" w:fill="auto"/>
            <w:noWrap/>
          </w:tcPr>
          <w:p w:rsidR="00F74156" w:rsidRPr="00465F2B" w:rsidRDefault="00F74156" w:rsidP="00EE41AC">
            <w:pPr>
              <w:spacing w:after="0" w:line="240" w:lineRule="auto"/>
              <w:jc w:val="center"/>
              <w:rPr>
                <w:rFonts w:ascii="Times New Roman" w:eastAsia="Times New Roman" w:hAnsi="Times New Roman" w:cs="Times New Roman"/>
                <w:b/>
                <w:bCs/>
                <w:sz w:val="24"/>
                <w:szCs w:val="24"/>
                <w:lang w:val="kk-KZ"/>
              </w:rPr>
            </w:pPr>
            <w:r w:rsidRPr="00465F2B">
              <w:rPr>
                <w:rFonts w:ascii="Times New Roman" w:eastAsia="Times New Roman" w:hAnsi="Times New Roman" w:cs="Times New Roman"/>
                <w:b/>
                <w:bCs/>
                <w:sz w:val="24"/>
                <w:szCs w:val="24"/>
                <w:lang w:val="kk-KZ"/>
              </w:rPr>
              <w:t>Total</w:t>
            </w:r>
          </w:p>
        </w:tc>
      </w:tr>
      <w:tr w:rsidR="00F74156" w:rsidRPr="00465F2B" w:rsidTr="004743F4">
        <w:trPr>
          <w:trHeight w:val="408"/>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w:t>
            </w:r>
          </w:p>
        </w:tc>
        <w:tc>
          <w:tcPr>
            <w:tcW w:w="3828" w:type="dxa"/>
            <w:shd w:val="clear" w:color="auto" w:fill="auto"/>
            <w:noWrap/>
            <w:vAlign w:val="bottom"/>
          </w:tcPr>
          <w:p w:rsidR="00F74156" w:rsidRPr="00465F2B" w:rsidRDefault="00F74156" w:rsidP="00EE41AC">
            <w:pPr>
              <w:spacing w:after="0" w:line="240" w:lineRule="auto"/>
              <w:jc w:val="both"/>
              <w:rPr>
                <w:rFonts w:ascii="Times New Roman" w:eastAsia="Times New Roman" w:hAnsi="Times New Roman" w:cs="Times New Roman"/>
                <w:color w:val="000000" w:themeColor="text1"/>
                <w:sz w:val="24"/>
                <w:szCs w:val="24"/>
                <w:lang w:val="en-US"/>
              </w:rPr>
            </w:pPr>
            <w:r w:rsidRPr="00465F2B">
              <w:rPr>
                <w:rFonts w:ascii="Times New Roman" w:eastAsia="Times New Roman" w:hAnsi="Times New Roman" w:cs="Times New Roman"/>
                <w:color w:val="000000" w:themeColor="text1"/>
                <w:sz w:val="24"/>
                <w:szCs w:val="24"/>
                <w:lang w:val="en-US"/>
              </w:rPr>
              <w:t>Mathematics</w:t>
            </w:r>
          </w:p>
        </w:tc>
        <w:tc>
          <w:tcPr>
            <w:tcW w:w="1275"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color w:val="000000" w:themeColor="text1"/>
                <w:sz w:val="24"/>
                <w:szCs w:val="24"/>
                <w:highlight w:val="cyan"/>
                <w:lang w:val="kk-KZ"/>
              </w:rPr>
            </w:pPr>
            <w:r w:rsidRPr="00465F2B">
              <w:rPr>
                <w:rFonts w:ascii="Times New Roman" w:hAnsi="Times New Roman" w:cs="Times New Roman"/>
                <w:color w:val="000000" w:themeColor="text1"/>
                <w:sz w:val="24"/>
                <w:szCs w:val="24"/>
                <w:highlight w:val="red"/>
                <w:lang w:val="kk-KZ"/>
              </w:rPr>
              <w:t>583,7</w:t>
            </w:r>
          </w:p>
        </w:tc>
        <w:tc>
          <w:tcPr>
            <w:tcW w:w="1776"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111,3</w:t>
            </w:r>
          </w:p>
        </w:tc>
        <w:tc>
          <w:tcPr>
            <w:tcW w:w="1443"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3,5</w:t>
            </w:r>
          </w:p>
        </w:tc>
        <w:tc>
          <w:tcPr>
            <w:tcW w:w="1281"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highlight w:val="red"/>
                <w:lang w:val="kk-KZ"/>
              </w:rPr>
              <w:t>698,5</w:t>
            </w:r>
          </w:p>
        </w:tc>
      </w:tr>
      <w:tr w:rsidR="00F74156" w:rsidRPr="00465F2B" w:rsidTr="004743F4">
        <w:trPr>
          <w:trHeight w:val="408"/>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2</w:t>
            </w:r>
          </w:p>
        </w:tc>
        <w:tc>
          <w:tcPr>
            <w:tcW w:w="3828" w:type="dxa"/>
            <w:shd w:val="clear" w:color="auto" w:fill="auto"/>
            <w:noWrap/>
            <w:vAlign w:val="bottom"/>
          </w:tcPr>
          <w:p w:rsidR="00F74156" w:rsidRPr="00465F2B" w:rsidRDefault="00C318CC" w:rsidP="00EE41AC">
            <w:pPr>
              <w:spacing w:after="0" w:line="240" w:lineRule="auto"/>
              <w:jc w:val="both"/>
              <w:rPr>
                <w:rFonts w:ascii="Times New Roman" w:eastAsia="Times New Roman" w:hAnsi="Times New Roman" w:cs="Times New Roman"/>
                <w:color w:val="000000"/>
                <w:sz w:val="24"/>
                <w:szCs w:val="24"/>
                <w:lang w:val="en-US"/>
              </w:rPr>
            </w:pPr>
            <w:r w:rsidRPr="00465F2B">
              <w:rPr>
                <w:rFonts w:ascii="Times New Roman" w:eastAsia="Times New Roman" w:hAnsi="Times New Roman" w:cs="Times New Roman"/>
                <w:color w:val="000000"/>
                <w:sz w:val="24"/>
                <w:szCs w:val="24"/>
                <w:lang w:val="en-US"/>
              </w:rPr>
              <w:t>Geography</w:t>
            </w:r>
          </w:p>
        </w:tc>
        <w:tc>
          <w:tcPr>
            <w:tcW w:w="1275"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282</w:t>
            </w:r>
          </w:p>
        </w:tc>
        <w:tc>
          <w:tcPr>
            <w:tcW w:w="1776"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highlight w:val="red"/>
                <w:lang w:val="kk-KZ"/>
              </w:rPr>
              <w:t>273,6</w:t>
            </w:r>
          </w:p>
        </w:tc>
        <w:tc>
          <w:tcPr>
            <w:tcW w:w="1443"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highlight w:val="red"/>
                <w:lang w:val="kk-KZ"/>
              </w:rPr>
              <w:t>118,5</w:t>
            </w:r>
          </w:p>
        </w:tc>
        <w:tc>
          <w:tcPr>
            <w:tcW w:w="1281"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highlight w:val="green"/>
                <w:lang w:val="kk-KZ"/>
              </w:rPr>
              <w:t>674,1</w:t>
            </w:r>
          </w:p>
        </w:tc>
      </w:tr>
      <w:tr w:rsidR="00F74156" w:rsidRPr="00465F2B" w:rsidTr="004743F4">
        <w:trPr>
          <w:trHeight w:val="408"/>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3</w:t>
            </w:r>
          </w:p>
        </w:tc>
        <w:tc>
          <w:tcPr>
            <w:tcW w:w="3828" w:type="dxa"/>
            <w:shd w:val="clear" w:color="auto" w:fill="auto"/>
            <w:noWrap/>
            <w:vAlign w:val="bottom"/>
          </w:tcPr>
          <w:p w:rsidR="00F74156" w:rsidRPr="00465F2B" w:rsidRDefault="00C318CC"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Russian language and literature</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256,3</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highlight w:val="yellow"/>
                <w:lang w:val="kk-KZ"/>
              </w:rPr>
            </w:pPr>
            <w:r w:rsidRPr="00465F2B">
              <w:rPr>
                <w:rFonts w:ascii="Times New Roman" w:hAnsi="Times New Roman" w:cs="Times New Roman"/>
                <w:sz w:val="24"/>
                <w:szCs w:val="24"/>
                <w:highlight w:val="green"/>
                <w:lang w:val="kk-KZ"/>
              </w:rPr>
              <w:t>167,8</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65,4</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highlight w:val="yellow"/>
                <w:lang w:val="kk-KZ"/>
              </w:rPr>
            </w:pPr>
            <w:r w:rsidRPr="00465F2B">
              <w:rPr>
                <w:rFonts w:ascii="Times New Roman" w:hAnsi="Times New Roman" w:cs="Times New Roman"/>
                <w:sz w:val="24"/>
                <w:szCs w:val="24"/>
                <w:highlight w:val="yellow"/>
                <w:lang w:val="kk-KZ"/>
              </w:rPr>
              <w:t>489,5</w:t>
            </w:r>
          </w:p>
        </w:tc>
      </w:tr>
      <w:tr w:rsidR="00F74156" w:rsidRPr="00465F2B" w:rsidTr="004743F4">
        <w:trPr>
          <w:trHeight w:val="268"/>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4</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themeColor="text1"/>
                <w:sz w:val="24"/>
                <w:szCs w:val="24"/>
              </w:rPr>
            </w:pPr>
            <w:proofErr w:type="spellStart"/>
            <w:r w:rsidRPr="00465F2B">
              <w:rPr>
                <w:rFonts w:ascii="Times New Roman" w:eastAsia="Times New Roman" w:hAnsi="Times New Roman" w:cs="Times New Roman"/>
                <w:color w:val="000000" w:themeColor="text1"/>
                <w:sz w:val="24"/>
                <w:szCs w:val="24"/>
              </w:rPr>
              <w:t>Biology</w:t>
            </w:r>
            <w:proofErr w:type="spellEnd"/>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262</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highlight w:val="red"/>
                <w:lang w:val="kk-KZ"/>
              </w:rPr>
            </w:pPr>
            <w:r w:rsidRPr="00465F2B">
              <w:rPr>
                <w:rFonts w:ascii="Times New Roman" w:hAnsi="Times New Roman" w:cs="Times New Roman"/>
                <w:color w:val="000000" w:themeColor="text1"/>
                <w:sz w:val="24"/>
                <w:szCs w:val="24"/>
                <w:highlight w:val="yellow"/>
                <w:lang w:val="kk-KZ"/>
              </w:rPr>
              <w:t>166,6</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50,5</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479,1</w:t>
            </w:r>
          </w:p>
        </w:tc>
      </w:tr>
      <w:tr w:rsidR="00F74156" w:rsidRPr="00465F2B" w:rsidTr="004743F4">
        <w:trPr>
          <w:trHeight w:val="408"/>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5</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Chemistry</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284</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104,6</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highlight w:val="yellow"/>
                <w:lang w:val="kk-KZ"/>
              </w:rPr>
              <w:t>70</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highlight w:val="yellow"/>
                <w:lang w:val="kk-KZ"/>
              </w:rPr>
            </w:pPr>
            <w:r w:rsidRPr="00465F2B">
              <w:rPr>
                <w:rFonts w:ascii="Times New Roman" w:hAnsi="Times New Roman" w:cs="Times New Roman"/>
                <w:color w:val="000000" w:themeColor="text1"/>
                <w:sz w:val="24"/>
                <w:szCs w:val="24"/>
                <w:lang w:val="kk-KZ"/>
              </w:rPr>
              <w:t>458,6</w:t>
            </w:r>
          </w:p>
        </w:tc>
      </w:tr>
      <w:tr w:rsidR="00F74156" w:rsidRPr="00465F2B" w:rsidTr="004743F4">
        <w:trPr>
          <w:trHeight w:val="408"/>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6</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Pedagogy</w:t>
            </w:r>
          </w:p>
        </w:tc>
        <w:tc>
          <w:tcPr>
            <w:tcW w:w="1275"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highlight w:val="green"/>
                <w:lang w:val="kk-KZ"/>
              </w:rPr>
              <w:t>299,2</w:t>
            </w:r>
          </w:p>
        </w:tc>
        <w:tc>
          <w:tcPr>
            <w:tcW w:w="1776"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79,1</w:t>
            </w:r>
          </w:p>
        </w:tc>
        <w:tc>
          <w:tcPr>
            <w:tcW w:w="1443"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62</w:t>
            </w:r>
          </w:p>
        </w:tc>
        <w:tc>
          <w:tcPr>
            <w:tcW w:w="1281" w:type="dxa"/>
            <w:shd w:val="clear" w:color="auto" w:fill="auto"/>
            <w:noWrap/>
            <w:vAlign w:val="bottom"/>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440,3</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7</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Physics</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highlight w:val="yellow"/>
                <w:lang w:val="kk-KZ"/>
              </w:rPr>
              <w:t>282,8</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106,2</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31,2</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highlight w:val="cyan"/>
                <w:lang w:val="kk-KZ"/>
              </w:rPr>
            </w:pPr>
            <w:r w:rsidRPr="00465F2B">
              <w:rPr>
                <w:rFonts w:ascii="Times New Roman" w:hAnsi="Times New Roman" w:cs="Times New Roman"/>
                <w:color w:val="000000" w:themeColor="text1"/>
                <w:sz w:val="24"/>
                <w:szCs w:val="24"/>
                <w:lang w:val="kk-KZ"/>
              </w:rPr>
              <w:t>420,2</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8</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Kazakh language and literature</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262</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102,3</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50,8</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415,1</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9</w:t>
            </w:r>
          </w:p>
        </w:tc>
        <w:tc>
          <w:tcPr>
            <w:tcW w:w="3828" w:type="dxa"/>
            <w:shd w:val="clear" w:color="auto" w:fill="auto"/>
            <w:noWrap/>
            <w:vAlign w:val="bottom"/>
          </w:tcPr>
          <w:p w:rsidR="00770361" w:rsidRPr="00465F2B" w:rsidRDefault="00770361" w:rsidP="00770361">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History of Kazakhstan and</w:t>
            </w:r>
          </w:p>
          <w:p w:rsidR="00F74156" w:rsidRPr="00465F2B" w:rsidRDefault="00770361" w:rsidP="00770361">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social disciplines</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226,9</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83</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highlight w:val="yellow"/>
                <w:lang w:val="kk-KZ"/>
              </w:rPr>
            </w:pPr>
            <w:r w:rsidRPr="00465F2B">
              <w:rPr>
                <w:rFonts w:ascii="Times New Roman" w:hAnsi="Times New Roman" w:cs="Times New Roman"/>
                <w:color w:val="000000" w:themeColor="text1"/>
                <w:sz w:val="24"/>
                <w:szCs w:val="24"/>
                <w:highlight w:val="green"/>
                <w:lang w:val="kk-KZ"/>
              </w:rPr>
              <w:t>83,6</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393,5</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lastRenderedPageBreak/>
              <w:t>10</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Computer science</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226,1</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112,2</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42,5</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380,8</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11</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English language</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134,1</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161</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57,1</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352,2</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12</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Psychology</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291,5</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46,6</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3,3</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341,5</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13</w:t>
            </w:r>
          </w:p>
        </w:tc>
        <w:tc>
          <w:tcPr>
            <w:tcW w:w="3828" w:type="dxa"/>
            <w:shd w:val="clear" w:color="auto" w:fill="auto"/>
            <w:noWrap/>
            <w:vAlign w:val="bottom"/>
          </w:tcPr>
          <w:p w:rsidR="00770361" w:rsidRPr="00465F2B" w:rsidRDefault="00770361" w:rsidP="00770361">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Preschool and</w:t>
            </w:r>
          </w:p>
          <w:p w:rsidR="00F74156" w:rsidRPr="00465F2B" w:rsidRDefault="00770361" w:rsidP="00770361">
            <w:pPr>
              <w:spacing w:after="0" w:line="240" w:lineRule="auto"/>
              <w:jc w:val="both"/>
              <w:rPr>
                <w:rFonts w:ascii="Times New Roman" w:eastAsia="Times New Roman" w:hAnsi="Times New Roman" w:cs="Times New Roman"/>
                <w:color w:val="000000" w:themeColor="text1"/>
                <w:sz w:val="24"/>
                <w:szCs w:val="24"/>
                <w:lang w:val="kk-KZ"/>
              </w:rPr>
            </w:pPr>
            <w:r w:rsidRPr="00465F2B">
              <w:rPr>
                <w:rFonts w:ascii="Times New Roman" w:eastAsia="Times New Roman" w:hAnsi="Times New Roman" w:cs="Times New Roman"/>
                <w:color w:val="000000" w:themeColor="text1"/>
                <w:sz w:val="24"/>
                <w:szCs w:val="24"/>
                <w:lang w:val="kk-KZ"/>
              </w:rPr>
              <w:t>special education</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166,5</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highlight w:val="cyan"/>
                <w:lang w:val="kk-KZ"/>
              </w:rPr>
            </w:pPr>
            <w:r w:rsidRPr="00465F2B">
              <w:rPr>
                <w:rFonts w:ascii="Times New Roman" w:hAnsi="Times New Roman" w:cs="Times New Roman"/>
                <w:color w:val="000000" w:themeColor="text1"/>
                <w:sz w:val="24"/>
                <w:szCs w:val="24"/>
                <w:lang w:val="kk-KZ"/>
              </w:rPr>
              <w:t>105,7</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29,4</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color w:val="000000" w:themeColor="text1"/>
                <w:sz w:val="24"/>
                <w:szCs w:val="24"/>
                <w:lang w:val="kk-KZ"/>
              </w:rPr>
            </w:pPr>
            <w:r w:rsidRPr="00465F2B">
              <w:rPr>
                <w:rFonts w:ascii="Times New Roman" w:hAnsi="Times New Roman" w:cs="Times New Roman"/>
                <w:color w:val="000000" w:themeColor="text1"/>
                <w:sz w:val="24"/>
                <w:szCs w:val="24"/>
                <w:lang w:val="kk-KZ"/>
              </w:rPr>
              <w:t>301,6</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14</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Music education</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194,6</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72,3</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highlight w:val="cyan"/>
                <w:lang w:val="kk-KZ"/>
              </w:rPr>
            </w:pPr>
            <w:r w:rsidRPr="00465F2B">
              <w:rPr>
                <w:rFonts w:ascii="Times New Roman" w:hAnsi="Times New Roman" w:cs="Times New Roman"/>
                <w:sz w:val="24"/>
                <w:szCs w:val="24"/>
                <w:lang w:val="kk-KZ"/>
              </w:rPr>
              <w:t>28,3</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295,2</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15</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Methods of primary education</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191,1</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67,8</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26,4</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285,3</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16</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Foreign languages</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178,9</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96,1</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5</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280</w:t>
            </w:r>
          </w:p>
        </w:tc>
      </w:tr>
      <w:tr w:rsidR="00F74156" w:rsidRPr="00465F2B" w:rsidTr="004743F4">
        <w:trPr>
          <w:trHeight w:val="315"/>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17</w:t>
            </w:r>
          </w:p>
        </w:tc>
        <w:tc>
          <w:tcPr>
            <w:tcW w:w="3828" w:type="dxa"/>
            <w:shd w:val="clear" w:color="auto" w:fill="auto"/>
            <w:noWrap/>
            <w:vAlign w:val="bottom"/>
          </w:tcPr>
          <w:p w:rsidR="00770361" w:rsidRPr="00465F2B" w:rsidRDefault="00770361" w:rsidP="00770361">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Vocational training and</w:t>
            </w:r>
          </w:p>
          <w:p w:rsidR="00F74156" w:rsidRPr="00465F2B" w:rsidRDefault="00770361" w:rsidP="00770361">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fine arts</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127</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91,9</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15</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233,9</w:t>
            </w:r>
          </w:p>
        </w:tc>
      </w:tr>
      <w:tr w:rsidR="00F74156" w:rsidRPr="00465F2B" w:rsidTr="004743F4">
        <w:trPr>
          <w:trHeight w:val="254"/>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18</w:t>
            </w:r>
          </w:p>
        </w:tc>
        <w:tc>
          <w:tcPr>
            <w:tcW w:w="3828" w:type="dxa"/>
            <w:shd w:val="clear" w:color="auto" w:fill="auto"/>
            <w:noWrap/>
            <w:vAlign w:val="bottom"/>
          </w:tcPr>
          <w:p w:rsidR="00770361" w:rsidRPr="00465F2B" w:rsidRDefault="00770361" w:rsidP="00770361">
            <w:pPr>
              <w:spacing w:after="0" w:line="240" w:lineRule="auto"/>
              <w:jc w:val="both"/>
              <w:rPr>
                <w:rFonts w:ascii="Times New Roman" w:eastAsia="Times New Roman" w:hAnsi="Times New Roman" w:cs="Times New Roman"/>
                <w:sz w:val="24"/>
                <w:szCs w:val="24"/>
                <w:lang w:val="kk-KZ"/>
              </w:rPr>
            </w:pPr>
            <w:r w:rsidRPr="00465F2B">
              <w:rPr>
                <w:rFonts w:ascii="Times New Roman" w:eastAsia="Times New Roman" w:hAnsi="Times New Roman" w:cs="Times New Roman"/>
                <w:sz w:val="24"/>
                <w:szCs w:val="24"/>
                <w:lang w:val="kk-KZ"/>
              </w:rPr>
              <w:t xml:space="preserve">Physical </w:t>
            </w:r>
            <w:r w:rsidRPr="00465F2B">
              <w:rPr>
                <w:rFonts w:ascii="Times New Roman" w:eastAsia="Times New Roman" w:hAnsi="Times New Roman" w:cs="Times New Roman"/>
                <w:color w:val="000000"/>
                <w:sz w:val="24"/>
                <w:szCs w:val="24"/>
                <w:lang w:val="kk-KZ"/>
              </w:rPr>
              <w:t>Culture</w:t>
            </w:r>
            <w:r w:rsidRPr="00465F2B">
              <w:rPr>
                <w:rFonts w:ascii="Times New Roman" w:eastAsia="Times New Roman" w:hAnsi="Times New Roman" w:cs="Times New Roman"/>
                <w:sz w:val="24"/>
                <w:szCs w:val="24"/>
                <w:lang w:val="kk-KZ"/>
              </w:rPr>
              <w:t xml:space="preserve"> and initial</w:t>
            </w:r>
          </w:p>
          <w:p w:rsidR="00F74156" w:rsidRPr="00465F2B" w:rsidRDefault="007807B1" w:rsidP="00770361">
            <w:pPr>
              <w:spacing w:after="0" w:line="240" w:lineRule="auto"/>
              <w:jc w:val="both"/>
              <w:rPr>
                <w:rFonts w:ascii="Times New Roman" w:eastAsia="Times New Roman" w:hAnsi="Times New Roman" w:cs="Times New Roman"/>
                <w:color w:val="FF0000"/>
                <w:sz w:val="24"/>
                <w:szCs w:val="24"/>
                <w:lang w:val="kk-KZ"/>
              </w:rPr>
            </w:pPr>
            <w:r w:rsidRPr="00465F2B">
              <w:rPr>
                <w:rFonts w:ascii="Times New Roman" w:eastAsia="Times New Roman" w:hAnsi="Times New Roman" w:cs="Times New Roman"/>
                <w:sz w:val="24"/>
                <w:szCs w:val="24"/>
                <w:lang w:val="en-US"/>
              </w:rPr>
              <w:t>M</w:t>
            </w:r>
            <w:r w:rsidR="00770361" w:rsidRPr="00465F2B">
              <w:rPr>
                <w:rFonts w:ascii="Times New Roman" w:eastAsia="Times New Roman" w:hAnsi="Times New Roman" w:cs="Times New Roman"/>
                <w:sz w:val="24"/>
                <w:szCs w:val="24"/>
                <w:lang w:val="kk-KZ"/>
              </w:rPr>
              <w:t>ilitary training</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167,1</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57,4</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38,3</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262,8</w:t>
            </w:r>
          </w:p>
        </w:tc>
      </w:tr>
      <w:tr w:rsidR="00F74156" w:rsidRPr="00465F2B" w:rsidTr="004743F4">
        <w:trPr>
          <w:trHeight w:val="254"/>
          <w:jc w:val="center"/>
        </w:trPr>
        <w:tc>
          <w:tcPr>
            <w:tcW w:w="567" w:type="dxa"/>
            <w:shd w:val="clear" w:color="auto" w:fill="auto"/>
            <w:noWrap/>
            <w:vAlign w:val="bottom"/>
          </w:tcPr>
          <w:p w:rsidR="00F74156" w:rsidRPr="00465F2B" w:rsidRDefault="00F74156" w:rsidP="00EE41AC">
            <w:pPr>
              <w:spacing w:after="0" w:line="240" w:lineRule="auto"/>
              <w:jc w:val="center"/>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19</w:t>
            </w:r>
          </w:p>
        </w:tc>
        <w:tc>
          <w:tcPr>
            <w:tcW w:w="3828" w:type="dxa"/>
            <w:shd w:val="clear" w:color="auto" w:fill="auto"/>
            <w:noWrap/>
            <w:vAlign w:val="bottom"/>
          </w:tcPr>
          <w:p w:rsidR="00F74156" w:rsidRPr="00465F2B" w:rsidRDefault="00770361" w:rsidP="00EE41AC">
            <w:pPr>
              <w:spacing w:after="0" w:line="240" w:lineRule="auto"/>
              <w:jc w:val="both"/>
              <w:rPr>
                <w:rFonts w:ascii="Times New Roman" w:eastAsia="Times New Roman" w:hAnsi="Times New Roman" w:cs="Times New Roman"/>
                <w:color w:val="000000"/>
                <w:sz w:val="24"/>
                <w:szCs w:val="24"/>
                <w:lang w:val="kk-KZ"/>
              </w:rPr>
            </w:pPr>
            <w:r w:rsidRPr="00465F2B">
              <w:rPr>
                <w:rFonts w:ascii="Times New Roman" w:eastAsia="Times New Roman" w:hAnsi="Times New Roman" w:cs="Times New Roman"/>
                <w:color w:val="000000"/>
                <w:sz w:val="24"/>
                <w:szCs w:val="24"/>
                <w:lang w:val="kk-KZ"/>
              </w:rPr>
              <w:t>Physical Culture</w:t>
            </w:r>
          </w:p>
        </w:tc>
        <w:tc>
          <w:tcPr>
            <w:tcW w:w="1275"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71,4</w:t>
            </w:r>
          </w:p>
        </w:tc>
        <w:tc>
          <w:tcPr>
            <w:tcW w:w="1776"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88,8</w:t>
            </w:r>
          </w:p>
        </w:tc>
        <w:tc>
          <w:tcPr>
            <w:tcW w:w="1443"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57,9</w:t>
            </w:r>
          </w:p>
        </w:tc>
        <w:tc>
          <w:tcPr>
            <w:tcW w:w="1281" w:type="dxa"/>
            <w:shd w:val="clear" w:color="auto" w:fill="auto"/>
            <w:noWrap/>
          </w:tcPr>
          <w:p w:rsidR="00F74156" w:rsidRPr="00465F2B" w:rsidRDefault="00F74156" w:rsidP="00EE41AC">
            <w:pPr>
              <w:spacing w:after="0" w:line="240" w:lineRule="auto"/>
              <w:jc w:val="center"/>
              <w:rPr>
                <w:rFonts w:ascii="Times New Roman" w:hAnsi="Times New Roman" w:cs="Times New Roman"/>
                <w:sz w:val="24"/>
                <w:szCs w:val="24"/>
                <w:lang w:val="kk-KZ"/>
              </w:rPr>
            </w:pPr>
            <w:r w:rsidRPr="00465F2B">
              <w:rPr>
                <w:rFonts w:ascii="Times New Roman" w:hAnsi="Times New Roman" w:cs="Times New Roman"/>
                <w:sz w:val="24"/>
                <w:szCs w:val="24"/>
                <w:lang w:val="kk-KZ"/>
              </w:rPr>
              <w:t>218,1</w:t>
            </w:r>
          </w:p>
        </w:tc>
      </w:tr>
    </w:tbl>
    <w:p w:rsidR="00F74156" w:rsidRPr="00465F2B" w:rsidRDefault="00F74156" w:rsidP="00F74156">
      <w:pPr>
        <w:spacing w:after="0" w:line="240" w:lineRule="auto"/>
        <w:ind w:firstLine="708"/>
        <w:jc w:val="both"/>
        <w:rPr>
          <w:rFonts w:ascii="Times New Roman" w:hAnsi="Times New Roman" w:cs="Times New Roman"/>
          <w:b/>
          <w:sz w:val="24"/>
          <w:szCs w:val="24"/>
          <w:lang w:val="kk-KZ"/>
        </w:rPr>
      </w:pPr>
    </w:p>
    <w:p w:rsidR="00F74156" w:rsidRPr="00465F2B" w:rsidRDefault="00F74156" w:rsidP="00F74156">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10. Among the departments, according to the overall rating score, the Department of Mathematics took the 1st place, the Department of Geography took the 2nd place, the Department of Russian Language and Literature took the 3rd place.</w:t>
      </w:r>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In the 2019-2020 academic </w:t>
      </w:r>
      <w:proofErr w:type="gramStart"/>
      <w:r w:rsidRPr="00465F2B">
        <w:rPr>
          <w:rFonts w:ascii="Times New Roman" w:hAnsi="Times New Roman" w:cs="Times New Roman"/>
          <w:sz w:val="24"/>
          <w:szCs w:val="24"/>
          <w:lang w:val="en-US"/>
        </w:rPr>
        <w:t>year</w:t>
      </w:r>
      <w:proofErr w:type="gramEnd"/>
      <w:r w:rsidRPr="00465F2B">
        <w:rPr>
          <w:rFonts w:ascii="Times New Roman" w:hAnsi="Times New Roman" w:cs="Times New Roman"/>
          <w:sz w:val="24"/>
          <w:szCs w:val="24"/>
          <w:lang w:val="en-US"/>
        </w:rPr>
        <w:t>, according to the overall rating score, the Department of Pedagogy took the 1st place, the Department of Physics took the 2nd place, and the Department of Chemistry took the 3rd place.</w:t>
      </w:r>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In the 2019-2020 academic year, high indicators for research work were shown by the departments of Physics, mathematics, chemistry, for educational and methodological work-by the departments of Biology, preschool and special pedagogy, Russian language and literature, and for educational work-by the departments of Pedagogy, Music Education, History of Kazakhstan and social disciplines, in the 2020-2021 academic year, high indicators for research work were shown by the departments of Mathematics, Pedagogy, physics. The departments of Geography, Russian language and Literature, biology took the first places in educational work, the departments of Geography, History of Kazakhstan and social disciplines, chemistry took the first places in educational work.</w:t>
      </w:r>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The total score of the departments that took the highest places increased from 312.1 to 698.5 points, the score of the second place from 309.4 to 674.1 points, the third place from 286.9 to 489.5 points</w:t>
      </w:r>
      <w:proofErr w:type="gramStart"/>
      <w:r w:rsidRPr="00465F2B">
        <w:rPr>
          <w:rFonts w:ascii="Times New Roman" w:hAnsi="Times New Roman" w:cs="Times New Roman"/>
          <w:sz w:val="24"/>
          <w:szCs w:val="24"/>
          <w:lang w:val="en-US"/>
        </w:rPr>
        <w:t>..</w:t>
      </w:r>
      <w:proofErr w:type="gramEnd"/>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Compared to the 2019-2020 academic year, the maximum indicators for research work increased from 233.3 points to 583.7-350.4 points, for educational and methodological work – from 42.1 points to 273.6-231.5 points, for educational work – from 79.7 to 118.5 – 38.8 points. There was an increase in the overall score from 312.1 to 698.5 386.4 points.</w:t>
      </w:r>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In general, in the 2019-2020 academic </w:t>
      </w:r>
      <w:proofErr w:type="gramStart"/>
      <w:r w:rsidRPr="00465F2B">
        <w:rPr>
          <w:rFonts w:ascii="Times New Roman" w:hAnsi="Times New Roman" w:cs="Times New Roman"/>
          <w:sz w:val="24"/>
          <w:szCs w:val="24"/>
          <w:lang w:val="en-US"/>
        </w:rPr>
        <w:t>year</w:t>
      </w:r>
      <w:proofErr w:type="gramEnd"/>
      <w:r w:rsidRPr="00465F2B">
        <w:rPr>
          <w:rFonts w:ascii="Times New Roman" w:hAnsi="Times New Roman" w:cs="Times New Roman"/>
          <w:sz w:val="24"/>
          <w:szCs w:val="24"/>
          <w:lang w:val="en-US"/>
        </w:rPr>
        <w:t xml:space="preserve">, the number of teaching staff at the university that took part in the rating was 220, in the 2020-2021 academic year, the number of teaching staff was 193. </w:t>
      </w:r>
      <w:proofErr w:type="gramStart"/>
      <w:r w:rsidRPr="00465F2B">
        <w:rPr>
          <w:rFonts w:ascii="Times New Roman" w:hAnsi="Times New Roman" w:cs="Times New Roman"/>
          <w:sz w:val="24"/>
          <w:szCs w:val="24"/>
          <w:lang w:val="en-US"/>
        </w:rPr>
        <w:t>Comparatively, the number of teaching staff decreased by 26.</w:t>
      </w:r>
      <w:proofErr w:type="gramEnd"/>
      <w:r w:rsidRPr="00465F2B">
        <w:rPr>
          <w:rFonts w:ascii="Times New Roman" w:hAnsi="Times New Roman" w:cs="Times New Roman"/>
          <w:sz w:val="24"/>
          <w:szCs w:val="24"/>
          <w:lang w:val="en-US"/>
        </w:rPr>
        <w:t xml:space="preserve"> In the 2019-2020 academic year, there were 5 teaching staff with rating indicators above 601 points, in the 2020-2021 academic year, the number of teaching staff with rating indicators above 1001 points was 15.</w:t>
      </w:r>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lastRenderedPageBreak/>
        <w:t>According to research work: the number of scientific projects funded by the Science Committee of the Ministry of Education and Science of the Republic of Kazakhstan and international grants and programs, the number of articles in scientific publications with a high impact factor registered on the Web of Science, Scopus databases, the number of articles of the teaching staff published in domestic publications according to the list submitted by the Committee for Control in the field of education and Science of the Ministry of Education and Science of the Republic of Kazakhstan in the 2020-2021 academic year reached high indicators. Here we are seeing growth.</w:t>
      </w:r>
    </w:p>
    <w:p w:rsidR="00694EED" w:rsidRPr="00465F2B" w:rsidRDefault="00694EED" w:rsidP="00694EED">
      <w:pPr>
        <w:jc w:val="both"/>
        <w:rPr>
          <w:rFonts w:ascii="Times New Roman" w:hAnsi="Times New Roman" w:cs="Times New Roman"/>
          <w:sz w:val="24"/>
          <w:szCs w:val="24"/>
          <w:lang w:val="en-US"/>
        </w:rPr>
      </w:pPr>
      <w:r w:rsidRPr="00465F2B">
        <w:rPr>
          <w:rFonts w:ascii="Times New Roman" w:hAnsi="Times New Roman" w:cs="Times New Roman"/>
          <w:sz w:val="24"/>
          <w:szCs w:val="24"/>
          <w:lang w:val="en-US"/>
        </w:rPr>
        <w:t xml:space="preserve">The number of articles of teaching staff in scientific journals and collections based on Web of Science, Scopus, </w:t>
      </w:r>
      <w:proofErr w:type="gramStart"/>
      <w:r w:rsidRPr="00465F2B">
        <w:rPr>
          <w:rFonts w:ascii="Times New Roman" w:hAnsi="Times New Roman" w:cs="Times New Roman"/>
          <w:sz w:val="24"/>
          <w:szCs w:val="24"/>
          <w:lang w:val="en-US"/>
        </w:rPr>
        <w:t>Elsevier</w:t>
      </w:r>
      <w:proofErr w:type="gramEnd"/>
      <w:r w:rsidRPr="00465F2B">
        <w:rPr>
          <w:rFonts w:ascii="Times New Roman" w:hAnsi="Times New Roman" w:cs="Times New Roman"/>
          <w:sz w:val="24"/>
          <w:szCs w:val="24"/>
          <w:lang w:val="en-US"/>
        </w:rPr>
        <w:t xml:space="preserve"> at SKSPU was 81 (in the 2019-2020 academic year there were 72).</w:t>
      </w:r>
    </w:p>
    <w:p w:rsidR="00694EED" w:rsidRPr="00465F2B" w:rsidRDefault="00694EED" w:rsidP="00694EED">
      <w:pPr>
        <w:jc w:val="both"/>
        <w:rPr>
          <w:rFonts w:ascii="Times New Roman" w:hAnsi="Times New Roman" w:cs="Times New Roman"/>
          <w:sz w:val="24"/>
          <w:szCs w:val="24"/>
          <w:lang w:val="en-US"/>
        </w:rPr>
      </w:pPr>
    </w:p>
    <w:p w:rsidR="00694EED" w:rsidRDefault="00B73F50" w:rsidP="00694EE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EED" w:rsidRPr="00465F2B">
        <w:rPr>
          <w:rFonts w:ascii="Times New Roman" w:hAnsi="Times New Roman" w:cs="Times New Roman"/>
          <w:sz w:val="24"/>
          <w:szCs w:val="24"/>
          <w:lang w:val="en-US"/>
        </w:rPr>
        <w:t xml:space="preserve">Dynamics of </w:t>
      </w:r>
      <w:r w:rsidR="00694EED" w:rsidRPr="00465F2B">
        <w:rPr>
          <w:rFonts w:ascii="Times New Roman" w:eastAsia="Times New Roman" w:hAnsi="Times New Roman" w:cs="Times New Roman"/>
          <w:b/>
          <w:bCs/>
          <w:sz w:val="24"/>
          <w:szCs w:val="24"/>
          <w:lang w:val="en-US"/>
        </w:rPr>
        <w:t>R</w:t>
      </w:r>
      <w:r w:rsidR="00694EED" w:rsidRPr="00465F2B">
        <w:rPr>
          <w:rFonts w:ascii="Times New Roman" w:eastAsia="Times New Roman" w:hAnsi="Times New Roman" w:cs="Times New Roman"/>
          <w:b/>
          <w:bCs/>
          <w:sz w:val="24"/>
          <w:szCs w:val="24"/>
          <w:lang w:val="kk-KZ"/>
        </w:rPr>
        <w:t xml:space="preserve">esearch </w:t>
      </w:r>
      <w:r w:rsidR="00694EED" w:rsidRPr="00465F2B">
        <w:rPr>
          <w:rFonts w:ascii="Times New Roman" w:eastAsia="Times New Roman" w:hAnsi="Times New Roman" w:cs="Times New Roman"/>
          <w:b/>
          <w:bCs/>
          <w:sz w:val="24"/>
          <w:szCs w:val="24"/>
          <w:lang w:val="en-US"/>
        </w:rPr>
        <w:t>W</w:t>
      </w:r>
      <w:r w:rsidR="00694EED" w:rsidRPr="00465F2B">
        <w:rPr>
          <w:rFonts w:ascii="Times New Roman" w:eastAsia="Times New Roman" w:hAnsi="Times New Roman" w:cs="Times New Roman"/>
          <w:b/>
          <w:bCs/>
          <w:sz w:val="24"/>
          <w:szCs w:val="24"/>
          <w:lang w:val="kk-KZ"/>
        </w:rPr>
        <w:t>ork</w:t>
      </w:r>
      <w:r w:rsidR="00694EED" w:rsidRPr="00465F2B">
        <w:rPr>
          <w:rFonts w:ascii="Times New Roman" w:hAnsi="Times New Roman" w:cs="Times New Roman"/>
          <w:sz w:val="24"/>
          <w:szCs w:val="24"/>
          <w:lang w:val="en-US"/>
        </w:rPr>
        <w:t xml:space="preserve"> indicators in comparative analysis</w:t>
      </w:r>
    </w:p>
    <w:p w:rsidR="00B73F50" w:rsidRPr="00465F2B" w:rsidRDefault="00B73F50" w:rsidP="00B73F50">
      <w:pPr>
        <w:jc w:val="center"/>
        <w:rPr>
          <w:rFonts w:ascii="Times New Roman" w:hAnsi="Times New Roman" w:cs="Times New Roman"/>
          <w:sz w:val="24"/>
          <w:szCs w:val="24"/>
          <w:lang w:val="en-US"/>
        </w:rPr>
      </w:pPr>
      <w:r w:rsidRPr="00B73F50">
        <w:rPr>
          <w:rFonts w:ascii="Times New Roman" w:hAnsi="Times New Roman" w:cs="Times New Roman"/>
          <w:noProof/>
          <w:sz w:val="24"/>
          <w:szCs w:val="24"/>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45FF" w:rsidRDefault="001645FF" w:rsidP="008D41B7">
      <w:pPr>
        <w:rPr>
          <w:rFonts w:ascii="Times New Roman" w:hAnsi="Times New Roman" w:cs="Times New Roman"/>
          <w:b/>
          <w:sz w:val="24"/>
          <w:szCs w:val="24"/>
        </w:rPr>
      </w:pPr>
    </w:p>
    <w:p w:rsidR="001645FF" w:rsidRDefault="001645FF" w:rsidP="008D41B7">
      <w:pPr>
        <w:rPr>
          <w:rFonts w:ascii="Times New Roman" w:hAnsi="Times New Roman" w:cs="Times New Roman"/>
          <w:b/>
          <w:sz w:val="24"/>
          <w:szCs w:val="24"/>
        </w:rPr>
      </w:pPr>
    </w:p>
    <w:p w:rsidR="001645FF" w:rsidRDefault="001645FF" w:rsidP="008D41B7">
      <w:pPr>
        <w:rPr>
          <w:rFonts w:ascii="Times New Roman" w:hAnsi="Times New Roman" w:cs="Times New Roman"/>
          <w:b/>
          <w:sz w:val="24"/>
          <w:szCs w:val="24"/>
        </w:rPr>
      </w:pPr>
    </w:p>
    <w:p w:rsidR="001645FF" w:rsidRDefault="001645FF" w:rsidP="008D41B7">
      <w:pPr>
        <w:rPr>
          <w:rFonts w:ascii="Times New Roman" w:hAnsi="Times New Roman" w:cs="Times New Roman"/>
          <w:b/>
          <w:sz w:val="24"/>
          <w:szCs w:val="24"/>
        </w:rPr>
      </w:pPr>
    </w:p>
    <w:p w:rsidR="001645FF" w:rsidRDefault="001645FF" w:rsidP="008D41B7">
      <w:pPr>
        <w:rPr>
          <w:rFonts w:ascii="Times New Roman" w:hAnsi="Times New Roman" w:cs="Times New Roman"/>
          <w:b/>
          <w:sz w:val="24"/>
          <w:szCs w:val="24"/>
        </w:rPr>
      </w:pPr>
    </w:p>
    <w:p w:rsidR="004743F4" w:rsidRDefault="004743F4" w:rsidP="008D41B7">
      <w:pPr>
        <w:rPr>
          <w:rFonts w:ascii="Times New Roman" w:hAnsi="Times New Roman" w:cs="Times New Roman"/>
          <w:b/>
          <w:sz w:val="24"/>
          <w:szCs w:val="24"/>
        </w:rPr>
      </w:pPr>
    </w:p>
    <w:p w:rsidR="004743F4" w:rsidRDefault="004743F4" w:rsidP="008D41B7">
      <w:pPr>
        <w:rPr>
          <w:rFonts w:ascii="Times New Roman" w:hAnsi="Times New Roman" w:cs="Times New Roman"/>
          <w:b/>
          <w:sz w:val="24"/>
          <w:szCs w:val="24"/>
        </w:rPr>
      </w:pPr>
    </w:p>
    <w:p w:rsidR="004743F4" w:rsidRDefault="004743F4" w:rsidP="008D41B7">
      <w:pPr>
        <w:rPr>
          <w:rFonts w:ascii="Times New Roman" w:hAnsi="Times New Roman" w:cs="Times New Roman"/>
          <w:b/>
          <w:sz w:val="24"/>
          <w:szCs w:val="24"/>
        </w:rPr>
      </w:pPr>
    </w:p>
    <w:p w:rsidR="001645FF" w:rsidRDefault="001645FF" w:rsidP="008D41B7">
      <w:pPr>
        <w:rPr>
          <w:rFonts w:ascii="Times New Roman" w:hAnsi="Times New Roman" w:cs="Times New Roman"/>
          <w:b/>
          <w:sz w:val="24"/>
          <w:szCs w:val="24"/>
        </w:rPr>
      </w:pPr>
    </w:p>
    <w:p w:rsidR="00694EED" w:rsidRPr="008D41B7" w:rsidRDefault="008D41B7" w:rsidP="008D41B7">
      <w:pPr>
        <w:rPr>
          <w:rFonts w:ascii="Times New Roman" w:hAnsi="Times New Roman" w:cs="Times New Roman"/>
          <w:b/>
          <w:sz w:val="24"/>
          <w:szCs w:val="24"/>
          <w:lang w:val="en-US"/>
        </w:rPr>
      </w:pPr>
      <w:r w:rsidRPr="008D41B7">
        <w:rPr>
          <w:rFonts w:ascii="Times New Roman" w:hAnsi="Times New Roman" w:cs="Times New Roman"/>
          <w:b/>
          <w:sz w:val="24"/>
          <w:szCs w:val="24"/>
          <w:lang w:val="en-US"/>
        </w:rPr>
        <w:t>General indicators of the Rating among the faculties in terms of research, educational, methodical, educational work</w:t>
      </w:r>
    </w:p>
    <w:p w:rsidR="008D41B7" w:rsidRDefault="008D41B7" w:rsidP="008D41B7">
      <w:pPr>
        <w:rPr>
          <w:rFonts w:ascii="Times New Roman" w:hAnsi="Times New Roman" w:cs="Times New Roman"/>
          <w:sz w:val="24"/>
          <w:szCs w:val="24"/>
          <w:lang w:val="en-US"/>
        </w:rPr>
      </w:pPr>
      <w:r w:rsidRPr="008D41B7">
        <w:rPr>
          <w:rFonts w:ascii="Times New Roman" w:hAnsi="Times New Roman" w:cs="Times New Roman"/>
          <w:noProof/>
          <w:sz w:val="24"/>
          <w:szCs w:val="24"/>
          <w:lang w:eastAsia="ru-RU"/>
        </w:rPr>
        <w:lastRenderedPageBreak/>
        <w:drawing>
          <wp:inline distT="0" distB="0" distL="0" distR="0">
            <wp:extent cx="5940425" cy="4041745"/>
            <wp:effectExtent l="19050" t="0" r="222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41B7" w:rsidRDefault="008D41B7" w:rsidP="008D41B7">
      <w:pPr>
        <w:rPr>
          <w:rFonts w:ascii="Times New Roman" w:hAnsi="Times New Roman" w:cs="Times New Roman"/>
          <w:sz w:val="24"/>
          <w:szCs w:val="24"/>
          <w:lang w:val="en-US"/>
        </w:rPr>
      </w:pPr>
    </w:p>
    <w:p w:rsidR="008D41B7" w:rsidRDefault="008D41B7" w:rsidP="008D41B7">
      <w:pPr>
        <w:rPr>
          <w:rFonts w:ascii="Times New Roman" w:hAnsi="Times New Roman" w:cs="Times New Roman"/>
          <w:b/>
          <w:sz w:val="24"/>
          <w:szCs w:val="24"/>
          <w:lang w:val="en-US"/>
        </w:rPr>
      </w:pPr>
      <w:r w:rsidRPr="008D41B7">
        <w:rPr>
          <w:rFonts w:ascii="Times New Roman" w:hAnsi="Times New Roman" w:cs="Times New Roman"/>
          <w:b/>
          <w:sz w:val="24"/>
          <w:szCs w:val="24"/>
          <w:lang w:val="en-US"/>
        </w:rPr>
        <w:t xml:space="preserve">Top 10 teachers with a high Rating of the 2020-2021 academic </w:t>
      </w:r>
      <w:proofErr w:type="gramStart"/>
      <w:r w:rsidRPr="008D41B7">
        <w:rPr>
          <w:rFonts w:ascii="Times New Roman" w:hAnsi="Times New Roman" w:cs="Times New Roman"/>
          <w:b/>
          <w:sz w:val="24"/>
          <w:szCs w:val="24"/>
          <w:lang w:val="en-US"/>
        </w:rPr>
        <w:t>year</w:t>
      </w:r>
      <w:proofErr w:type="gramEnd"/>
    </w:p>
    <w:p w:rsidR="008D41B7" w:rsidRPr="008D41B7" w:rsidRDefault="008D41B7" w:rsidP="008D41B7">
      <w:pPr>
        <w:rPr>
          <w:rFonts w:ascii="Times New Roman" w:hAnsi="Times New Roman" w:cs="Times New Roman"/>
          <w:b/>
          <w:sz w:val="24"/>
          <w:szCs w:val="24"/>
          <w:lang w:val="en-US"/>
        </w:rPr>
      </w:pPr>
      <w:r w:rsidRPr="008D41B7">
        <w:rPr>
          <w:rFonts w:ascii="Times New Roman" w:hAnsi="Times New Roman" w:cs="Times New Roman"/>
          <w:b/>
          <w:noProof/>
          <w:sz w:val="24"/>
          <w:szCs w:val="24"/>
          <w:lang w:eastAsia="ru-RU"/>
        </w:rPr>
        <w:drawing>
          <wp:inline distT="0" distB="0" distL="0" distR="0">
            <wp:extent cx="5495925" cy="2743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41B7" w:rsidRDefault="008D41B7"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4109A4" w:rsidRDefault="004109A4" w:rsidP="004109A4">
      <w:pPr>
        <w:jc w:val="center"/>
        <w:rPr>
          <w:rFonts w:ascii="Times New Roman" w:hAnsi="Times New Roman" w:cs="Times New Roman"/>
          <w:sz w:val="24"/>
          <w:szCs w:val="24"/>
          <w:lang w:val="en-US"/>
        </w:rPr>
      </w:pPr>
      <w:r w:rsidRPr="004109A4">
        <w:rPr>
          <w:rFonts w:ascii="Times New Roman" w:hAnsi="Times New Roman" w:cs="Times New Roman"/>
          <w:noProof/>
          <w:sz w:val="24"/>
          <w:szCs w:val="24"/>
          <w:lang w:eastAsia="ru-RU"/>
        </w:rPr>
        <w:lastRenderedPageBreak/>
        <w:drawing>
          <wp:inline distT="0" distB="0" distL="0" distR="0">
            <wp:extent cx="5153026" cy="3257550"/>
            <wp:effectExtent l="19050" t="0" r="2857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09A4" w:rsidRDefault="004109A4" w:rsidP="008D41B7">
      <w:pPr>
        <w:rPr>
          <w:rFonts w:ascii="Times New Roman" w:hAnsi="Times New Roman" w:cs="Times New Roman"/>
          <w:sz w:val="24"/>
          <w:szCs w:val="24"/>
          <w:lang w:val="en-US"/>
        </w:rPr>
      </w:pPr>
    </w:p>
    <w:p w:rsidR="004109A4" w:rsidRPr="004109A4" w:rsidRDefault="004109A4" w:rsidP="008D41B7">
      <w:pPr>
        <w:rPr>
          <w:rFonts w:ascii="Times New Roman" w:hAnsi="Times New Roman" w:cs="Times New Roman"/>
          <w:b/>
          <w:sz w:val="24"/>
          <w:szCs w:val="24"/>
          <w:lang w:val="en-US"/>
        </w:rPr>
      </w:pPr>
      <w:r w:rsidRPr="004109A4">
        <w:rPr>
          <w:rFonts w:ascii="Times New Roman" w:hAnsi="Times New Roman" w:cs="Times New Roman"/>
          <w:b/>
          <w:sz w:val="24"/>
          <w:szCs w:val="24"/>
          <w:lang w:val="en-US"/>
        </w:rPr>
        <w:t>Rating of departments by the overall average score</w:t>
      </w:r>
    </w:p>
    <w:p w:rsidR="004109A4" w:rsidRDefault="004109A4" w:rsidP="008D41B7">
      <w:pPr>
        <w:rPr>
          <w:rFonts w:ascii="Times New Roman" w:hAnsi="Times New Roman" w:cs="Times New Roman"/>
          <w:sz w:val="24"/>
          <w:szCs w:val="24"/>
          <w:lang w:val="en-US"/>
        </w:rPr>
      </w:pPr>
      <w:r w:rsidRPr="004109A4">
        <w:rPr>
          <w:rFonts w:ascii="Times New Roman" w:hAnsi="Times New Roman" w:cs="Times New Roman"/>
          <w:noProof/>
          <w:sz w:val="24"/>
          <w:szCs w:val="24"/>
          <w:lang w:eastAsia="ru-RU"/>
        </w:rPr>
        <w:drawing>
          <wp:inline distT="0" distB="0" distL="0" distR="0">
            <wp:extent cx="5940425" cy="3064938"/>
            <wp:effectExtent l="19050" t="0" r="22225" b="2112"/>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09A4" w:rsidRDefault="004109A4"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4109A4" w:rsidRDefault="004109A4" w:rsidP="008D41B7">
      <w:pPr>
        <w:rPr>
          <w:rFonts w:ascii="Times New Roman" w:hAnsi="Times New Roman" w:cs="Times New Roman"/>
          <w:sz w:val="24"/>
          <w:szCs w:val="24"/>
          <w:lang w:val="en-US"/>
        </w:rPr>
      </w:pPr>
    </w:p>
    <w:p w:rsidR="00694EED" w:rsidRPr="00FF49A1" w:rsidRDefault="00694EED" w:rsidP="00694EED">
      <w:pPr>
        <w:spacing w:after="0" w:line="240" w:lineRule="auto"/>
        <w:jc w:val="center"/>
        <w:rPr>
          <w:rFonts w:ascii="Times New Roman" w:hAnsi="Times New Roman" w:cs="Times New Roman"/>
          <w:b/>
          <w:sz w:val="24"/>
          <w:szCs w:val="24"/>
          <w:lang w:val="en-US"/>
        </w:rPr>
      </w:pPr>
      <w:r w:rsidRPr="00FF49A1">
        <w:rPr>
          <w:rFonts w:ascii="Times New Roman" w:hAnsi="Times New Roman" w:cs="Times New Roman"/>
          <w:b/>
          <w:sz w:val="24"/>
          <w:szCs w:val="24"/>
          <w:lang w:val="en-US"/>
        </w:rPr>
        <w:lastRenderedPageBreak/>
        <w:t>Rating indicators of teachers by category</w:t>
      </w:r>
    </w:p>
    <w:p w:rsidR="00694EED" w:rsidRDefault="00694EED" w:rsidP="00694EED">
      <w:pPr>
        <w:spacing w:after="0" w:line="240" w:lineRule="auto"/>
        <w:jc w:val="center"/>
        <w:rPr>
          <w:rFonts w:ascii="Times New Roman" w:hAnsi="Times New Roman" w:cs="Times New Roman"/>
          <w:b/>
          <w:sz w:val="24"/>
          <w:szCs w:val="24"/>
        </w:rPr>
      </w:pPr>
      <w:r w:rsidRPr="00FF49A1">
        <w:rPr>
          <w:rFonts w:ascii="Times New Roman" w:hAnsi="Times New Roman" w:cs="Times New Roman"/>
          <w:b/>
          <w:sz w:val="24"/>
          <w:szCs w:val="24"/>
        </w:rPr>
        <w:t xml:space="preserve">SWOT </w:t>
      </w:r>
      <w:proofErr w:type="spellStart"/>
      <w:r w:rsidRPr="00FF49A1">
        <w:rPr>
          <w:rFonts w:ascii="Times New Roman" w:hAnsi="Times New Roman" w:cs="Times New Roman"/>
          <w:b/>
          <w:sz w:val="24"/>
          <w:szCs w:val="24"/>
        </w:rPr>
        <w:t>analysis</w:t>
      </w:r>
      <w:proofErr w:type="spellEnd"/>
    </w:p>
    <w:p w:rsidR="00FF49A1" w:rsidRPr="00FF49A1" w:rsidRDefault="00FF49A1" w:rsidP="00694EED">
      <w:pPr>
        <w:spacing w:after="0" w:line="240" w:lineRule="auto"/>
        <w:jc w:val="center"/>
        <w:rPr>
          <w:rFonts w:ascii="Times New Roman" w:hAnsi="Times New Roman" w:cs="Times New Roman"/>
          <w:b/>
          <w:sz w:val="24"/>
          <w:szCs w:val="24"/>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7"/>
        <w:gridCol w:w="4784"/>
      </w:tblGrid>
      <w:tr w:rsidR="00694EED" w:rsidRPr="00465F2B" w:rsidTr="00EE41AC">
        <w:tc>
          <w:tcPr>
            <w:tcW w:w="2501" w:type="pct"/>
          </w:tcPr>
          <w:p w:rsidR="00694EED" w:rsidRPr="00465F2B" w:rsidRDefault="00743948" w:rsidP="00EE41AC">
            <w:pPr>
              <w:jc w:val="center"/>
              <w:rPr>
                <w:rFonts w:ascii="Times New Roman" w:hAnsi="Times New Roman" w:cs="Times New Roman"/>
                <w:b/>
                <w:sz w:val="24"/>
                <w:szCs w:val="24"/>
                <w:lang w:val="kk-KZ"/>
              </w:rPr>
            </w:pPr>
            <w:r w:rsidRPr="00465F2B">
              <w:rPr>
                <w:rFonts w:ascii="Times New Roman" w:hAnsi="Times New Roman" w:cs="Times New Roman"/>
                <w:b/>
                <w:sz w:val="24"/>
                <w:szCs w:val="24"/>
                <w:lang w:val="kk-KZ"/>
              </w:rPr>
              <w:t>Strengths</w:t>
            </w:r>
          </w:p>
        </w:tc>
        <w:tc>
          <w:tcPr>
            <w:tcW w:w="2499" w:type="pct"/>
          </w:tcPr>
          <w:p w:rsidR="00694EED" w:rsidRPr="00465F2B" w:rsidRDefault="00743948" w:rsidP="00EE41AC">
            <w:pPr>
              <w:jc w:val="center"/>
              <w:rPr>
                <w:rFonts w:ascii="Times New Roman" w:hAnsi="Times New Roman" w:cs="Times New Roman"/>
                <w:b/>
                <w:sz w:val="24"/>
                <w:szCs w:val="24"/>
                <w:lang w:val="kk-KZ"/>
              </w:rPr>
            </w:pPr>
            <w:r w:rsidRPr="00465F2B">
              <w:rPr>
                <w:rFonts w:ascii="Times New Roman" w:hAnsi="Times New Roman" w:cs="Times New Roman"/>
                <w:b/>
                <w:sz w:val="24"/>
                <w:szCs w:val="24"/>
                <w:lang w:val="kk-KZ"/>
              </w:rPr>
              <w:t>Weaknesses</w:t>
            </w:r>
          </w:p>
        </w:tc>
      </w:tr>
      <w:tr w:rsidR="00694EED" w:rsidRPr="00A75B4F" w:rsidTr="00EE41AC">
        <w:trPr>
          <w:trHeight w:val="1975"/>
        </w:trPr>
        <w:tc>
          <w:tcPr>
            <w:tcW w:w="2501" w:type="pct"/>
          </w:tcPr>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Implementation of indicators of the indicative plan in a separate automated information system Univer 2.0 teaching staff at the beginning of the academic year;</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Increase in the publication of PPP articles in scientific journals and collections. (RSCI, in publications of near and far abroad, in domestic publications according to the list provided by the Committee for Control in the field of education and science of the Ministry of Education and Science, in university, regional and industry publications, in the Bulletin of the SKSPI);</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Participation of teaching staff in conferences and publication of articles in collections of conference materials;</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Reviewing of teaching staff (monographs, textbooks, teaching aids, dissertations, as an expert, curriculum, scientific work of schoolchildren);</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Introduction of innovative and scientific results of teaching staff into the educational process (according to the acts of implementation ) ;</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Participation of teaching staff in the organization of research works (conferences, seminars)</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The presence of achievements and awards in the teaching staff;</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Introduction of innovative teaching technologies into the educational process (textbooks, electronic textbook, video lecture, virtual laboratory, Case-Study);</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Development of teaching staff and introduction of new disciplines into the educational process of curricula;</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Passing of teaching staff internships and advanced training courses;</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High level of student attendance;</w:t>
            </w:r>
          </w:p>
          <w:p w:rsidR="000806BE" w:rsidRPr="000806BE"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Management of teaching staff sports competitions of students;</w:t>
            </w:r>
          </w:p>
          <w:p w:rsidR="00694EED" w:rsidRPr="00465F2B" w:rsidRDefault="000806BE" w:rsidP="000806BE">
            <w:pPr>
              <w:tabs>
                <w:tab w:val="left" w:pos="426"/>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Management of teaching staff mentoring work.</w:t>
            </w:r>
          </w:p>
        </w:tc>
        <w:tc>
          <w:tcPr>
            <w:tcW w:w="2499" w:type="pct"/>
          </w:tcPr>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Low rate of publication of a monograph among university teaching staff;</w:t>
            </w:r>
          </w:p>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Low level of publication of articles in scientific journals and collections based on Web of Science, Scopus, Elsevier and poor work on these databases;</w:t>
            </w:r>
          </w:p>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The small number of references to scientific articles of the teaching staff for the formation of the Hirsch index;</w:t>
            </w:r>
          </w:p>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Low level of participation of teaching staff in the implementation of works on national and international grant financing, economic contracts and initiative projects;</w:t>
            </w:r>
          </w:p>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The small number of patents, innovative patents, copyrights (inventions), state registration of intellectual property objects among the teaching staff of the university;</w:t>
            </w:r>
          </w:p>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The presence of certificates of English language learning (IELTS (6,0), TOEFL PBT) only for a small number of teaching staff;</w:t>
            </w:r>
          </w:p>
          <w:p w:rsidR="000806BE" w:rsidRPr="000806BE"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A small number of textbooks, teaching aids published under the stamp of the Ministry of Education and Science of the Republic of Kazakhstan;</w:t>
            </w:r>
          </w:p>
          <w:p w:rsidR="00694EED" w:rsidRPr="00465F2B" w:rsidRDefault="000806BE" w:rsidP="000806BE">
            <w:pPr>
              <w:tabs>
                <w:tab w:val="left" w:pos="319"/>
              </w:tabs>
              <w:rPr>
                <w:rFonts w:ascii="Times New Roman" w:hAnsi="Times New Roman" w:cs="Times New Roman"/>
                <w:sz w:val="24"/>
                <w:szCs w:val="24"/>
                <w:lang w:val="kk-KZ"/>
              </w:rPr>
            </w:pPr>
            <w:r w:rsidRPr="000806BE">
              <w:rPr>
                <w:rFonts w:ascii="Times New Roman" w:hAnsi="Times New Roman" w:cs="Times New Roman"/>
                <w:sz w:val="24"/>
                <w:szCs w:val="24"/>
                <w:lang w:val="kk-KZ"/>
              </w:rPr>
              <w:t>- A small number of university teaching staff who have studied at other universities under the academic mobility program.</w:t>
            </w:r>
          </w:p>
        </w:tc>
      </w:tr>
      <w:tr w:rsidR="00694EED" w:rsidRPr="00465F2B" w:rsidTr="00EE41AC">
        <w:tc>
          <w:tcPr>
            <w:tcW w:w="2501" w:type="pct"/>
          </w:tcPr>
          <w:p w:rsidR="00694EED" w:rsidRPr="00465F2B" w:rsidRDefault="00743948" w:rsidP="00EE41AC">
            <w:pPr>
              <w:spacing w:after="0" w:line="240" w:lineRule="auto"/>
              <w:jc w:val="center"/>
              <w:rPr>
                <w:rFonts w:ascii="Times New Roman" w:hAnsi="Times New Roman" w:cs="Times New Roman"/>
                <w:b/>
                <w:sz w:val="24"/>
                <w:szCs w:val="24"/>
                <w:lang w:val="kk-KZ"/>
              </w:rPr>
            </w:pPr>
            <w:r w:rsidRPr="00465F2B">
              <w:rPr>
                <w:rFonts w:ascii="Times New Roman" w:hAnsi="Times New Roman" w:cs="Times New Roman"/>
                <w:b/>
                <w:sz w:val="24"/>
                <w:szCs w:val="24"/>
                <w:lang w:val="kk-KZ"/>
              </w:rPr>
              <w:t>Opportunities</w:t>
            </w:r>
          </w:p>
        </w:tc>
        <w:tc>
          <w:tcPr>
            <w:tcW w:w="2499" w:type="pct"/>
          </w:tcPr>
          <w:p w:rsidR="00694EED" w:rsidRPr="00465F2B" w:rsidRDefault="00743948" w:rsidP="00EE41AC">
            <w:pPr>
              <w:spacing w:after="0" w:line="240" w:lineRule="auto"/>
              <w:jc w:val="center"/>
              <w:rPr>
                <w:rFonts w:ascii="Times New Roman" w:hAnsi="Times New Roman" w:cs="Times New Roman"/>
                <w:b/>
                <w:sz w:val="24"/>
                <w:szCs w:val="24"/>
                <w:lang w:val="kk-KZ"/>
              </w:rPr>
            </w:pPr>
            <w:r w:rsidRPr="00465F2B">
              <w:rPr>
                <w:rFonts w:ascii="Times New Roman" w:hAnsi="Times New Roman" w:cs="Times New Roman"/>
                <w:b/>
                <w:sz w:val="24"/>
                <w:szCs w:val="24"/>
                <w:lang w:val="en-US"/>
              </w:rPr>
              <w:t>T</w:t>
            </w:r>
            <w:r w:rsidRPr="00465F2B">
              <w:rPr>
                <w:rFonts w:ascii="Times New Roman" w:hAnsi="Times New Roman" w:cs="Times New Roman"/>
                <w:b/>
                <w:sz w:val="24"/>
                <w:szCs w:val="24"/>
                <w:lang w:val="kk-KZ"/>
              </w:rPr>
              <w:t>hreat</w:t>
            </w:r>
          </w:p>
        </w:tc>
      </w:tr>
      <w:tr w:rsidR="00694EED" w:rsidRPr="00A75B4F" w:rsidTr="00EE41AC">
        <w:tc>
          <w:tcPr>
            <w:tcW w:w="2501" w:type="pct"/>
          </w:tcPr>
          <w:p w:rsidR="000806BE" w:rsidRPr="000806BE" w:rsidRDefault="000806BE" w:rsidP="000806BE">
            <w:pPr>
              <w:tabs>
                <w:tab w:val="left" w:pos="319"/>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xml:space="preserve">- Support for the publication of articles in scientific journals and collections based on Web of Science, Scopus, Elsevier (81 </w:t>
            </w:r>
            <w:r w:rsidRPr="000806BE">
              <w:rPr>
                <w:rFonts w:ascii="Times New Roman" w:hAnsi="Times New Roman" w:cs="Times New Roman"/>
                <w:sz w:val="24"/>
                <w:szCs w:val="24"/>
                <w:lang w:val="kk-KZ"/>
              </w:rPr>
              <w:lastRenderedPageBreak/>
              <w:t>professors ' articles are published in scientific journals and collections based on Web of Science, Scopus, Elsevier);</w:t>
            </w:r>
          </w:p>
          <w:p w:rsidR="000806BE" w:rsidRPr="000806BE" w:rsidRDefault="000806BE" w:rsidP="000806BE">
            <w:pPr>
              <w:tabs>
                <w:tab w:val="left" w:pos="319"/>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Freedom of publication of materials in the mass media;</w:t>
            </w:r>
          </w:p>
          <w:p w:rsidR="000806BE" w:rsidRPr="000806BE" w:rsidRDefault="000806BE" w:rsidP="000806BE">
            <w:pPr>
              <w:tabs>
                <w:tab w:val="left" w:pos="319"/>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Participation of teaching staff in the educational activities of the Republic of Kazakhstan (authors of textbooks, joint work with schools, supervision of scientific projects of students, jury of Olympiads, professional development).</w:t>
            </w:r>
          </w:p>
          <w:p w:rsidR="00694EED" w:rsidRPr="00465F2B" w:rsidRDefault="000806BE" w:rsidP="000806BE">
            <w:pPr>
              <w:tabs>
                <w:tab w:val="left" w:pos="319"/>
              </w:tabs>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Manage the research work and the subject Olympiad of students and take prizes.</w:t>
            </w:r>
          </w:p>
        </w:tc>
        <w:tc>
          <w:tcPr>
            <w:tcW w:w="2499" w:type="pct"/>
          </w:tcPr>
          <w:p w:rsidR="000806BE" w:rsidRPr="000806BE" w:rsidRDefault="000806BE" w:rsidP="000806BE">
            <w:pPr>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lastRenderedPageBreak/>
              <w:t>- Low responsibility of some teaching staff to perform their duties;</w:t>
            </w:r>
          </w:p>
          <w:p w:rsidR="00694EED" w:rsidRPr="00465F2B" w:rsidRDefault="000806BE" w:rsidP="000806BE">
            <w:pPr>
              <w:spacing w:after="0" w:line="240" w:lineRule="auto"/>
              <w:jc w:val="both"/>
              <w:rPr>
                <w:rFonts w:ascii="Times New Roman" w:hAnsi="Times New Roman" w:cs="Times New Roman"/>
                <w:sz w:val="24"/>
                <w:szCs w:val="24"/>
                <w:lang w:val="kk-KZ"/>
              </w:rPr>
            </w:pPr>
            <w:r w:rsidRPr="000806BE">
              <w:rPr>
                <w:rFonts w:ascii="Times New Roman" w:hAnsi="Times New Roman" w:cs="Times New Roman"/>
                <w:sz w:val="24"/>
                <w:szCs w:val="24"/>
                <w:lang w:val="kk-KZ"/>
              </w:rPr>
              <w:t>- Low rating indicator of PPP participation.</w:t>
            </w:r>
          </w:p>
        </w:tc>
      </w:tr>
    </w:tbl>
    <w:p w:rsidR="00F74156" w:rsidRPr="000806BE" w:rsidRDefault="00F74156" w:rsidP="00F74156">
      <w:pPr>
        <w:jc w:val="both"/>
        <w:rPr>
          <w:rFonts w:ascii="Times New Roman" w:hAnsi="Times New Roman" w:cs="Times New Roman"/>
          <w:sz w:val="24"/>
          <w:szCs w:val="24"/>
          <w:lang w:val="en-US"/>
        </w:rPr>
      </w:pPr>
    </w:p>
    <w:p w:rsidR="00563429" w:rsidRPr="008D1DEC" w:rsidRDefault="00563429" w:rsidP="00EF1590">
      <w:pPr>
        <w:jc w:val="both"/>
        <w:rPr>
          <w:rFonts w:ascii="Times New Roman" w:hAnsi="Times New Roman" w:cs="Times New Roman"/>
          <w:sz w:val="24"/>
          <w:szCs w:val="24"/>
          <w:lang w:val="en-US"/>
        </w:rPr>
      </w:pPr>
    </w:p>
    <w:p w:rsidR="008D1DEC" w:rsidRPr="00776ECF" w:rsidRDefault="008D1DEC" w:rsidP="00EF1590">
      <w:pPr>
        <w:jc w:val="both"/>
        <w:rPr>
          <w:rFonts w:ascii="Times New Roman" w:hAnsi="Times New Roman" w:cs="Times New Roman"/>
          <w:sz w:val="24"/>
          <w:szCs w:val="24"/>
          <w:lang w:val="en-US"/>
        </w:rPr>
      </w:pPr>
    </w:p>
    <w:p w:rsidR="008D1DEC" w:rsidRPr="00776ECF" w:rsidRDefault="008D1DEC" w:rsidP="00EF1590">
      <w:pPr>
        <w:jc w:val="both"/>
        <w:rPr>
          <w:rFonts w:ascii="Times New Roman" w:hAnsi="Times New Roman" w:cs="Times New Roman"/>
          <w:sz w:val="24"/>
          <w:szCs w:val="24"/>
          <w:lang w:val="en-US"/>
        </w:rPr>
      </w:pPr>
    </w:p>
    <w:p w:rsidR="008D1DEC" w:rsidRPr="008D1DEC" w:rsidRDefault="008D1DEC" w:rsidP="008D1DEC">
      <w:pPr>
        <w:spacing w:after="0" w:line="240" w:lineRule="auto"/>
        <w:jc w:val="both"/>
        <w:rPr>
          <w:rFonts w:ascii="Times New Roman" w:hAnsi="Times New Roman" w:cs="Times New Roman"/>
          <w:sz w:val="24"/>
          <w:szCs w:val="24"/>
          <w:lang w:val="en-US"/>
        </w:rPr>
      </w:pPr>
      <w:r w:rsidRPr="008D1DEC">
        <w:rPr>
          <w:rFonts w:ascii="Times New Roman" w:hAnsi="Times New Roman" w:cs="Times New Roman"/>
          <w:sz w:val="24"/>
          <w:szCs w:val="24"/>
          <w:lang w:val="en-US"/>
        </w:rPr>
        <w:t>Head of the Strategic Planning,</w:t>
      </w:r>
    </w:p>
    <w:p w:rsidR="008D1DEC" w:rsidRPr="008D1DEC" w:rsidRDefault="008D1DEC" w:rsidP="008D1DEC">
      <w:pPr>
        <w:spacing w:after="0" w:line="240" w:lineRule="auto"/>
        <w:jc w:val="both"/>
        <w:rPr>
          <w:rFonts w:ascii="Times New Roman" w:hAnsi="Times New Roman" w:cs="Times New Roman"/>
          <w:sz w:val="24"/>
          <w:szCs w:val="24"/>
          <w:lang w:val="en-US"/>
        </w:rPr>
      </w:pPr>
      <w:r w:rsidRPr="008D1DEC">
        <w:rPr>
          <w:rFonts w:ascii="Times New Roman" w:hAnsi="Times New Roman" w:cs="Times New Roman"/>
          <w:sz w:val="24"/>
          <w:szCs w:val="24"/>
          <w:lang w:val="en-US"/>
        </w:rPr>
        <w:t xml:space="preserve">Management and Monitoring Department                        A. </w:t>
      </w:r>
      <w:proofErr w:type="spellStart"/>
      <w:r w:rsidRPr="008D1DEC">
        <w:rPr>
          <w:rFonts w:ascii="Times New Roman" w:hAnsi="Times New Roman" w:cs="Times New Roman"/>
          <w:sz w:val="24"/>
          <w:szCs w:val="24"/>
          <w:lang w:val="en-US"/>
        </w:rPr>
        <w:t>Turlybekova</w:t>
      </w:r>
      <w:proofErr w:type="spellEnd"/>
    </w:p>
    <w:sectPr w:rsidR="008D1DEC" w:rsidRPr="008D1DEC" w:rsidSect="005F0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01"/>
    <w:rsid w:val="000806BE"/>
    <w:rsid w:val="000847A1"/>
    <w:rsid w:val="0008546E"/>
    <w:rsid w:val="001645FF"/>
    <w:rsid w:val="00177F8C"/>
    <w:rsid w:val="002A1AD3"/>
    <w:rsid w:val="0030329A"/>
    <w:rsid w:val="003F7B34"/>
    <w:rsid w:val="004109A4"/>
    <w:rsid w:val="00465F2B"/>
    <w:rsid w:val="004743F4"/>
    <w:rsid w:val="00563429"/>
    <w:rsid w:val="005F0B4C"/>
    <w:rsid w:val="00682AA6"/>
    <w:rsid w:val="00694EED"/>
    <w:rsid w:val="006A58BB"/>
    <w:rsid w:val="00700CD2"/>
    <w:rsid w:val="00716F01"/>
    <w:rsid w:val="00724C3E"/>
    <w:rsid w:val="00743948"/>
    <w:rsid w:val="00770361"/>
    <w:rsid w:val="00776ECF"/>
    <w:rsid w:val="007807B1"/>
    <w:rsid w:val="007C3304"/>
    <w:rsid w:val="008D1DEC"/>
    <w:rsid w:val="008D41B7"/>
    <w:rsid w:val="0099775E"/>
    <w:rsid w:val="00A1434D"/>
    <w:rsid w:val="00A75B4F"/>
    <w:rsid w:val="00A936BE"/>
    <w:rsid w:val="00B73F50"/>
    <w:rsid w:val="00BF2E59"/>
    <w:rsid w:val="00C318CC"/>
    <w:rsid w:val="00C422EA"/>
    <w:rsid w:val="00DE7E61"/>
    <w:rsid w:val="00E23DFA"/>
    <w:rsid w:val="00E51DD2"/>
    <w:rsid w:val="00E747D8"/>
    <w:rsid w:val="00EC6CEB"/>
    <w:rsid w:val="00EF1590"/>
    <w:rsid w:val="00F74156"/>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29A"/>
    <w:rPr>
      <w:rFonts w:ascii="Tahoma" w:hAnsi="Tahoma" w:cs="Tahoma"/>
      <w:sz w:val="16"/>
      <w:szCs w:val="16"/>
    </w:rPr>
  </w:style>
  <w:style w:type="paragraph" w:styleId="a5">
    <w:name w:val="No Spacing"/>
    <w:uiPriority w:val="1"/>
    <w:qFormat/>
    <w:rsid w:val="00EF1590"/>
    <w:pPr>
      <w:spacing w:after="0" w:line="240" w:lineRule="auto"/>
    </w:pPr>
    <w:rPr>
      <w:rFonts w:eastAsiaTheme="minorEastAsia"/>
      <w:lang w:val="en-US" w:eastAsia="ru-RU"/>
    </w:rPr>
  </w:style>
  <w:style w:type="table" w:styleId="a6">
    <w:name w:val="Table Grid"/>
    <w:basedOn w:val="a1"/>
    <w:uiPriority w:val="59"/>
    <w:rsid w:val="00EF1590"/>
    <w:pPr>
      <w:spacing w:after="0" w:line="240" w:lineRule="auto"/>
    </w:pPr>
    <w:rPr>
      <w:rFonts w:eastAsiaTheme="minorEastAsia"/>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94EED"/>
    <w:pPr>
      <w:ind w:left="720"/>
      <w:contextualSpacing/>
    </w:pPr>
  </w:style>
  <w:style w:type="paragraph" w:styleId="a8">
    <w:name w:val="Normal (Web)"/>
    <w:basedOn w:val="a"/>
    <w:uiPriority w:val="99"/>
    <w:semiHidden/>
    <w:unhideWhenUsed/>
    <w:rsid w:val="0069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9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29A"/>
    <w:rPr>
      <w:rFonts w:ascii="Tahoma" w:hAnsi="Tahoma" w:cs="Tahoma"/>
      <w:sz w:val="16"/>
      <w:szCs w:val="16"/>
    </w:rPr>
  </w:style>
  <w:style w:type="paragraph" w:styleId="a5">
    <w:name w:val="No Spacing"/>
    <w:uiPriority w:val="1"/>
    <w:qFormat/>
    <w:rsid w:val="00EF1590"/>
    <w:pPr>
      <w:spacing w:after="0" w:line="240" w:lineRule="auto"/>
    </w:pPr>
    <w:rPr>
      <w:rFonts w:eastAsiaTheme="minorEastAsia"/>
      <w:lang w:val="en-US" w:eastAsia="ru-RU"/>
    </w:rPr>
  </w:style>
  <w:style w:type="table" w:styleId="a6">
    <w:name w:val="Table Grid"/>
    <w:basedOn w:val="a1"/>
    <w:uiPriority w:val="59"/>
    <w:rsid w:val="00EF1590"/>
    <w:pPr>
      <w:spacing w:after="0" w:line="240" w:lineRule="auto"/>
    </w:pPr>
    <w:rPr>
      <w:rFonts w:eastAsiaTheme="minorEastAsia"/>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94EED"/>
    <w:pPr>
      <w:ind w:left="720"/>
      <w:contextualSpacing/>
    </w:pPr>
  </w:style>
  <w:style w:type="paragraph" w:styleId="a8">
    <w:name w:val="Normal (Web)"/>
    <w:basedOn w:val="a"/>
    <w:uiPriority w:val="99"/>
    <w:semiHidden/>
    <w:unhideWhenUsed/>
    <w:rsid w:val="0069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9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Лист1!$B$3</c:f>
              <c:strCache>
                <c:ptCount val="1"/>
              </c:strCache>
            </c:strRef>
          </c:tx>
          <c:explosion val="7"/>
          <c:dLbls>
            <c:dLbl>
              <c:idx val="0"/>
              <c:layout>
                <c:manualLayout>
                  <c:x val="5.5661636045494321E-3"/>
                  <c:y val="-0.1016550014581511"/>
                </c:manualLayout>
              </c:layout>
              <c:showLegendKey val="0"/>
              <c:showVal val="1"/>
              <c:showCatName val="0"/>
              <c:showSerName val="0"/>
              <c:showPercent val="0"/>
              <c:showBubbleSize val="0"/>
            </c:dLbl>
            <c:dLbl>
              <c:idx val="1"/>
              <c:layout>
                <c:manualLayout>
                  <c:x val="6.8208661417322848E-4"/>
                  <c:y val="-9.279673374161565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Лист1!$A$4:$A$5</c:f>
              <c:strCache>
                <c:ptCount val="2"/>
                <c:pt idx="0">
                  <c:v>Teaching staff who took part in the Indicative Rating</c:v>
                </c:pt>
                <c:pt idx="1">
                  <c:v>Teaching staff who did not participate in the Indicative Rating</c:v>
                </c:pt>
              </c:strCache>
            </c:strRef>
          </c:cat>
          <c:val>
            <c:numRef>
              <c:f>Лист1!$B$4:$B$5</c:f>
              <c:numCache>
                <c:formatCode>General</c:formatCode>
                <c:ptCount val="2"/>
                <c:pt idx="0">
                  <c:v>59.7</c:v>
                </c:pt>
                <c:pt idx="1">
                  <c:v>40.300000000000011</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Лист1!$B$15</c:f>
              <c:strCache>
                <c:ptCount val="1"/>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Лист1!$A$16:$A$17</c:f>
              <c:strCache>
                <c:ptCount val="2"/>
                <c:pt idx="0">
                  <c:v>2019-2020 а.у.</c:v>
                </c:pt>
                <c:pt idx="1">
                  <c:v>2020-2021 а.у.</c:v>
                </c:pt>
              </c:strCache>
            </c:strRef>
          </c:cat>
          <c:val>
            <c:numRef>
              <c:f>Лист1!$B$16:$B$17</c:f>
              <c:numCache>
                <c:formatCode>General</c:formatCode>
                <c:ptCount val="2"/>
                <c:pt idx="0">
                  <c:v>1183.5</c:v>
                </c:pt>
                <c:pt idx="1">
                  <c:v>1711</c:v>
                </c:pt>
              </c:numCache>
            </c:numRef>
          </c:val>
        </c:ser>
        <c:dLbls>
          <c:showLegendKey val="0"/>
          <c:showVal val="0"/>
          <c:showCatName val="0"/>
          <c:showSerName val="0"/>
          <c:showPercent val="0"/>
          <c:showBubbleSize val="0"/>
        </c:dLbls>
        <c:gapWidth val="150"/>
        <c:shape val="cone"/>
        <c:axId val="323155456"/>
        <c:axId val="323156992"/>
        <c:axId val="0"/>
      </c:bar3DChart>
      <c:catAx>
        <c:axId val="323155456"/>
        <c:scaling>
          <c:orientation val="minMax"/>
        </c:scaling>
        <c:delete val="0"/>
        <c:axPos val="b"/>
        <c:majorTickMark val="out"/>
        <c:minorTickMark val="none"/>
        <c:tickLblPos val="nextTo"/>
        <c:crossAx val="323156992"/>
        <c:crosses val="autoZero"/>
        <c:auto val="1"/>
        <c:lblAlgn val="ctr"/>
        <c:lblOffset val="100"/>
        <c:noMultiLvlLbl val="0"/>
      </c:catAx>
      <c:valAx>
        <c:axId val="323156992"/>
        <c:scaling>
          <c:orientation val="minMax"/>
        </c:scaling>
        <c:delete val="0"/>
        <c:axPos val="l"/>
        <c:majorGridlines/>
        <c:numFmt formatCode="General" sourceLinked="1"/>
        <c:majorTickMark val="out"/>
        <c:minorTickMark val="none"/>
        <c:tickLblPos val="nextTo"/>
        <c:crossAx val="3231554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Лист1!$B$34:$B$35</c:f>
              <c:strCache>
                <c:ptCount val="1"/>
                <c:pt idx="0">
                  <c:v>Research Work </c:v>
                </c:pt>
              </c:strCache>
            </c:strRef>
          </c:tx>
          <c:invertIfNegative val="0"/>
          <c:dLbls>
            <c:showLegendKey val="0"/>
            <c:showVal val="1"/>
            <c:showCatName val="0"/>
            <c:showSerName val="0"/>
            <c:showPercent val="0"/>
            <c:showBubbleSize val="0"/>
            <c:showLeaderLines val="0"/>
          </c:dLbls>
          <c:cat>
            <c:strRef>
              <c:f>Лист1!$A$36:$A$41</c:f>
              <c:strCache>
                <c:ptCount val="6"/>
                <c:pt idx="0">
                  <c:v>Natural Sciences</c:v>
                </c:pt>
                <c:pt idx="1">
                  <c:v>Physics-Mathematics</c:v>
                </c:pt>
                <c:pt idx="2">
                  <c:v>Philology</c:v>
                </c:pt>
                <c:pt idx="3">
                  <c:v>History and pedagogy</c:v>
                </c:pt>
                <c:pt idx="4">
                  <c:v>Art and education</c:v>
                </c:pt>
                <c:pt idx="5">
                  <c:v>Physical education and sports</c:v>
                </c:pt>
              </c:strCache>
            </c:strRef>
          </c:cat>
          <c:val>
            <c:numRef>
              <c:f>Лист1!$B$36:$B$41</c:f>
              <c:numCache>
                <c:formatCode>General</c:formatCode>
                <c:ptCount val="6"/>
                <c:pt idx="0">
                  <c:v>277.10000000000002</c:v>
                </c:pt>
                <c:pt idx="1">
                  <c:v>321.5</c:v>
                </c:pt>
                <c:pt idx="2">
                  <c:v>219.3</c:v>
                </c:pt>
                <c:pt idx="3">
                  <c:v>227.7</c:v>
                </c:pt>
                <c:pt idx="4">
                  <c:v>153.5</c:v>
                </c:pt>
                <c:pt idx="5">
                  <c:v>131.80000000000001</c:v>
                </c:pt>
              </c:numCache>
            </c:numRef>
          </c:val>
        </c:ser>
        <c:ser>
          <c:idx val="1"/>
          <c:order val="1"/>
          <c:tx>
            <c:strRef>
              <c:f>Лист1!$C$34:$C$35</c:f>
              <c:strCache>
                <c:ptCount val="1"/>
                <c:pt idx="0">
                  <c:v>Educational and methodological work </c:v>
                </c:pt>
              </c:strCache>
            </c:strRef>
          </c:tx>
          <c:invertIfNegative val="0"/>
          <c:dLbls>
            <c:dLbl>
              <c:idx val="0"/>
              <c:layout>
                <c:manualLayout>
                  <c:x val="2.7426160337552744E-2"/>
                  <c:y val="-1.24031007751938E-2"/>
                </c:manualLayout>
              </c:layout>
              <c:showLegendKey val="0"/>
              <c:showVal val="1"/>
              <c:showCatName val="0"/>
              <c:showSerName val="0"/>
              <c:showPercent val="0"/>
              <c:showBubbleSize val="0"/>
            </c:dLbl>
            <c:dLbl>
              <c:idx val="1"/>
              <c:layout>
                <c:manualLayout>
                  <c:x val="2.9535864978902964E-2"/>
                  <c:y val="-3.1007751937984496E-3"/>
                </c:manualLayout>
              </c:layout>
              <c:showLegendKey val="0"/>
              <c:showVal val="1"/>
              <c:showCatName val="0"/>
              <c:showSerName val="0"/>
              <c:showPercent val="0"/>
              <c:showBubbleSize val="0"/>
            </c:dLbl>
            <c:dLbl>
              <c:idx val="2"/>
              <c:layout>
                <c:manualLayout>
                  <c:x val="1.4767932489451472E-2"/>
                  <c:y val="9.3023255813953504E-3"/>
                </c:manualLayout>
              </c:layout>
              <c:showLegendKey val="0"/>
              <c:showVal val="1"/>
              <c:showCatName val="0"/>
              <c:showSerName val="0"/>
              <c:showPercent val="0"/>
              <c:showBubbleSize val="0"/>
            </c:dLbl>
            <c:dLbl>
              <c:idx val="3"/>
              <c:layout>
                <c:manualLayout>
                  <c:x val="2.7426160337552744E-2"/>
                  <c:y val="-9.3023255813953504E-3"/>
                </c:manualLayout>
              </c:layout>
              <c:showLegendKey val="0"/>
              <c:showVal val="1"/>
              <c:showCatName val="0"/>
              <c:showSerName val="0"/>
              <c:showPercent val="0"/>
              <c:showBubbleSize val="0"/>
            </c:dLbl>
            <c:dLbl>
              <c:idx val="4"/>
              <c:layout>
                <c:manualLayout>
                  <c:x val="1.8987341772151899E-2"/>
                  <c:y val="-3.1007751937984496E-3"/>
                </c:manualLayout>
              </c:layout>
              <c:showLegendKey val="0"/>
              <c:showVal val="1"/>
              <c:showCatName val="0"/>
              <c:showSerName val="0"/>
              <c:showPercent val="0"/>
              <c:showBubbleSize val="0"/>
            </c:dLbl>
            <c:dLbl>
              <c:idx val="5"/>
              <c:layout>
                <c:manualLayout>
                  <c:x val="1.687763713080168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Лист1!$A$36:$A$41</c:f>
              <c:strCache>
                <c:ptCount val="6"/>
                <c:pt idx="0">
                  <c:v>Natural Sciences</c:v>
                </c:pt>
                <c:pt idx="1">
                  <c:v>Physics-Mathematics</c:v>
                </c:pt>
                <c:pt idx="2">
                  <c:v>Philology</c:v>
                </c:pt>
                <c:pt idx="3">
                  <c:v>History and pedagogy</c:v>
                </c:pt>
                <c:pt idx="4">
                  <c:v>Art and education</c:v>
                </c:pt>
                <c:pt idx="5">
                  <c:v>Physical education and sports</c:v>
                </c:pt>
              </c:strCache>
            </c:strRef>
          </c:cat>
          <c:val>
            <c:numRef>
              <c:f>Лист1!$C$36:$C$41</c:f>
              <c:numCache>
                <c:formatCode>General</c:formatCode>
                <c:ptCount val="6"/>
                <c:pt idx="0">
                  <c:v>157.6</c:v>
                </c:pt>
                <c:pt idx="1">
                  <c:v>110.4</c:v>
                </c:pt>
                <c:pt idx="2">
                  <c:v>129.19999999999999</c:v>
                </c:pt>
                <c:pt idx="3">
                  <c:v>80.2</c:v>
                </c:pt>
                <c:pt idx="4">
                  <c:v>94.2</c:v>
                </c:pt>
                <c:pt idx="5">
                  <c:v>69</c:v>
                </c:pt>
              </c:numCache>
            </c:numRef>
          </c:val>
        </c:ser>
        <c:ser>
          <c:idx val="2"/>
          <c:order val="2"/>
          <c:tx>
            <c:strRef>
              <c:f>Лист1!$D$34:$D$35</c:f>
              <c:strCache>
                <c:ptCount val="1"/>
                <c:pt idx="0">
                  <c:v>Pedagogical Work
(PW)
</c:v>
                </c:pt>
              </c:strCache>
            </c:strRef>
          </c:tx>
          <c:invertIfNegative val="0"/>
          <c:dLbls>
            <c:dLbl>
              <c:idx val="0"/>
              <c:layout>
                <c:manualLayout>
                  <c:x val="2.5316455696202528E-2"/>
                  <c:y val="-3.1007751937984496E-3"/>
                </c:manualLayout>
              </c:layout>
              <c:showLegendKey val="0"/>
              <c:showVal val="1"/>
              <c:showCatName val="0"/>
              <c:showSerName val="0"/>
              <c:showPercent val="0"/>
              <c:showBubbleSize val="0"/>
            </c:dLbl>
            <c:dLbl>
              <c:idx val="1"/>
              <c:layout>
                <c:manualLayout>
                  <c:x val="2.3206751054852311E-2"/>
                  <c:y val="0"/>
                </c:manualLayout>
              </c:layout>
              <c:showLegendKey val="0"/>
              <c:showVal val="1"/>
              <c:showCatName val="0"/>
              <c:showSerName val="0"/>
              <c:showPercent val="0"/>
              <c:showBubbleSize val="0"/>
            </c:dLbl>
            <c:dLbl>
              <c:idx val="2"/>
              <c:layout>
                <c:manualLayout>
                  <c:x val="1.6877637130801686E-2"/>
                  <c:y val="0"/>
                </c:manualLayout>
              </c:layout>
              <c:showLegendKey val="0"/>
              <c:showVal val="1"/>
              <c:showCatName val="0"/>
              <c:showSerName val="0"/>
              <c:showPercent val="0"/>
              <c:showBubbleSize val="0"/>
            </c:dLbl>
            <c:dLbl>
              <c:idx val="3"/>
              <c:layout>
                <c:manualLayout>
                  <c:x val="1.2658227848101266E-2"/>
                  <c:y val="0"/>
                </c:manualLayout>
              </c:layout>
              <c:showLegendKey val="0"/>
              <c:showVal val="1"/>
              <c:showCatName val="0"/>
              <c:showSerName val="0"/>
              <c:showPercent val="0"/>
              <c:showBubbleSize val="0"/>
            </c:dLbl>
            <c:dLbl>
              <c:idx val="4"/>
              <c:layout>
                <c:manualLayout>
                  <c:x val="1.2658227848101266E-2"/>
                  <c:y val="0"/>
                </c:manualLayout>
              </c:layout>
              <c:showLegendKey val="0"/>
              <c:showVal val="1"/>
              <c:showCatName val="0"/>
              <c:showSerName val="0"/>
              <c:showPercent val="0"/>
              <c:showBubbleSize val="0"/>
            </c:dLbl>
            <c:dLbl>
              <c:idx val="5"/>
              <c:layout>
                <c:manualLayout>
                  <c:x val="2.320675105485231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Лист1!$A$36:$A$41</c:f>
              <c:strCache>
                <c:ptCount val="6"/>
                <c:pt idx="0">
                  <c:v>Natural Sciences</c:v>
                </c:pt>
                <c:pt idx="1">
                  <c:v>Physics-Mathematics</c:v>
                </c:pt>
                <c:pt idx="2">
                  <c:v>Philology</c:v>
                </c:pt>
                <c:pt idx="3">
                  <c:v>History and pedagogy</c:v>
                </c:pt>
                <c:pt idx="4">
                  <c:v>Art and education</c:v>
                </c:pt>
                <c:pt idx="5">
                  <c:v>Physical education and sports</c:v>
                </c:pt>
              </c:strCache>
            </c:strRef>
          </c:cat>
          <c:val>
            <c:numRef>
              <c:f>Лист1!$D$36:$D$41</c:f>
              <c:numCache>
                <c:formatCode>General</c:formatCode>
                <c:ptCount val="6"/>
                <c:pt idx="0">
                  <c:v>74.3</c:v>
                </c:pt>
                <c:pt idx="1">
                  <c:v>30.8</c:v>
                </c:pt>
                <c:pt idx="2">
                  <c:v>45.6</c:v>
                </c:pt>
                <c:pt idx="3">
                  <c:v>51.3</c:v>
                </c:pt>
                <c:pt idx="4">
                  <c:v>23</c:v>
                </c:pt>
                <c:pt idx="5">
                  <c:v>45.5</c:v>
                </c:pt>
              </c:numCache>
            </c:numRef>
          </c:val>
        </c:ser>
        <c:dLbls>
          <c:showLegendKey val="0"/>
          <c:showVal val="0"/>
          <c:showCatName val="0"/>
          <c:showSerName val="0"/>
          <c:showPercent val="0"/>
          <c:showBubbleSize val="0"/>
        </c:dLbls>
        <c:gapWidth val="150"/>
        <c:shape val="box"/>
        <c:axId val="323175936"/>
        <c:axId val="323177472"/>
        <c:axId val="0"/>
      </c:bar3DChart>
      <c:catAx>
        <c:axId val="323175936"/>
        <c:scaling>
          <c:orientation val="minMax"/>
        </c:scaling>
        <c:delete val="0"/>
        <c:axPos val="b"/>
        <c:majorTickMark val="out"/>
        <c:minorTickMark val="none"/>
        <c:tickLblPos val="nextTo"/>
        <c:crossAx val="323177472"/>
        <c:crosses val="autoZero"/>
        <c:auto val="1"/>
        <c:lblAlgn val="ctr"/>
        <c:lblOffset val="100"/>
        <c:noMultiLvlLbl val="0"/>
      </c:catAx>
      <c:valAx>
        <c:axId val="323177472"/>
        <c:scaling>
          <c:orientation val="minMax"/>
        </c:scaling>
        <c:delete val="0"/>
        <c:axPos val="l"/>
        <c:majorGridlines/>
        <c:numFmt formatCode="General" sourceLinked="1"/>
        <c:majorTickMark val="out"/>
        <c:minorTickMark val="none"/>
        <c:tickLblPos val="nextTo"/>
        <c:crossAx val="323175936"/>
        <c:crosses val="autoZero"/>
        <c:crossBetween val="between"/>
      </c:valAx>
    </c:plotArea>
    <c:legend>
      <c:legendPos val="b"/>
      <c:layout>
        <c:manualLayout>
          <c:xMode val="edge"/>
          <c:yMode val="edge"/>
          <c:x val="5.6025615468952412E-2"/>
          <c:y val="0.80341378257950302"/>
          <c:w val="0.8731805043356925"/>
          <c:h val="0.1502037477873406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Лист1!$B$65</c:f>
              <c:strCache>
                <c:ptCount val="1"/>
              </c:strCache>
            </c:strRef>
          </c:tx>
          <c:invertIfNegative val="0"/>
          <c:dLbls>
            <c:showLegendKey val="0"/>
            <c:showVal val="1"/>
            <c:showCatName val="0"/>
            <c:showSerName val="0"/>
            <c:showPercent val="0"/>
            <c:showBubbleSize val="0"/>
            <c:showLeaderLines val="0"/>
          </c:dLbls>
          <c:cat>
            <c:strRef>
              <c:f>Лист1!$A$66:$A$75</c:f>
              <c:strCache>
                <c:ptCount val="10"/>
                <c:pt idx="0">
                  <c:v>Kadirbaeva R. I.</c:v>
                </c:pt>
                <c:pt idx="1">
                  <c:v>Imanbayev N. S.</c:v>
                </c:pt>
                <c:pt idx="2">
                  <c:v>Nurimanov B. T.</c:v>
                </c:pt>
                <c:pt idx="3">
                  <c:v>Masalieva Zh. A.</c:v>
                </c:pt>
                <c:pt idx="4">
                  <c:v>Oralbekova A.К.</c:v>
                </c:pt>
                <c:pt idx="5">
                  <c:v>Jamankaraeva M. A.</c:v>
                </c:pt>
                <c:pt idx="6">
                  <c:v>Bitemirova A. Y.</c:v>
                </c:pt>
                <c:pt idx="7">
                  <c:v>Madybekova G. M.</c:v>
                </c:pt>
                <c:pt idx="8">
                  <c:v>Isabek B. K.</c:v>
                </c:pt>
                <c:pt idx="9">
                  <c:v>Mynbaeva A. P.</c:v>
                </c:pt>
              </c:strCache>
            </c:strRef>
          </c:cat>
          <c:val>
            <c:numRef>
              <c:f>Лист1!$B$66:$B$75</c:f>
              <c:numCache>
                <c:formatCode>General</c:formatCode>
                <c:ptCount val="10"/>
                <c:pt idx="0">
                  <c:v>1711</c:v>
                </c:pt>
                <c:pt idx="1">
                  <c:v>1258</c:v>
                </c:pt>
                <c:pt idx="2">
                  <c:v>1255</c:v>
                </c:pt>
                <c:pt idx="3">
                  <c:v>1240</c:v>
                </c:pt>
                <c:pt idx="4">
                  <c:v>1240</c:v>
                </c:pt>
                <c:pt idx="5">
                  <c:v>1238</c:v>
                </c:pt>
                <c:pt idx="6">
                  <c:v>1219</c:v>
                </c:pt>
                <c:pt idx="7">
                  <c:v>1194</c:v>
                </c:pt>
                <c:pt idx="8">
                  <c:v>1180</c:v>
                </c:pt>
                <c:pt idx="9">
                  <c:v>1058</c:v>
                </c:pt>
              </c:numCache>
            </c:numRef>
          </c:val>
        </c:ser>
        <c:dLbls>
          <c:showLegendKey val="0"/>
          <c:showVal val="0"/>
          <c:showCatName val="0"/>
          <c:showSerName val="0"/>
          <c:showPercent val="0"/>
          <c:showBubbleSize val="0"/>
        </c:dLbls>
        <c:gapWidth val="150"/>
        <c:shape val="box"/>
        <c:axId val="323186048"/>
        <c:axId val="323191936"/>
        <c:axId val="0"/>
      </c:bar3DChart>
      <c:catAx>
        <c:axId val="323186048"/>
        <c:scaling>
          <c:orientation val="minMax"/>
        </c:scaling>
        <c:delete val="0"/>
        <c:axPos val="b"/>
        <c:majorTickMark val="out"/>
        <c:minorTickMark val="none"/>
        <c:tickLblPos val="nextTo"/>
        <c:crossAx val="323191936"/>
        <c:crosses val="autoZero"/>
        <c:auto val="1"/>
        <c:lblAlgn val="ctr"/>
        <c:lblOffset val="100"/>
        <c:noMultiLvlLbl val="0"/>
      </c:catAx>
      <c:valAx>
        <c:axId val="323191936"/>
        <c:scaling>
          <c:orientation val="minMax"/>
        </c:scaling>
        <c:delete val="0"/>
        <c:axPos val="l"/>
        <c:majorGridlines/>
        <c:numFmt formatCode="General" sourceLinked="1"/>
        <c:majorTickMark val="out"/>
        <c:minorTickMark val="none"/>
        <c:tickLblPos val="nextTo"/>
        <c:crossAx val="3231860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Rating of faculties by the overall average score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Лист1!$B$81</c:f>
              <c:strCache>
                <c:ptCount val="1"/>
              </c:strCache>
            </c:strRef>
          </c:tx>
          <c:invertIfNegative val="0"/>
          <c:dLbls>
            <c:showLegendKey val="0"/>
            <c:showVal val="1"/>
            <c:showCatName val="0"/>
            <c:showSerName val="0"/>
            <c:showPercent val="0"/>
            <c:showBubbleSize val="0"/>
            <c:showLeaderLines val="0"/>
          </c:dLbls>
          <c:cat>
            <c:strRef>
              <c:f>Лист1!$A$82:$A$87</c:f>
              <c:strCache>
                <c:ptCount val="6"/>
                <c:pt idx="0">
                  <c:v>Physics-Mathematics</c:v>
                </c:pt>
                <c:pt idx="1">
                  <c:v>Philology</c:v>
                </c:pt>
                <c:pt idx="2">
                  <c:v>History and pedagogy</c:v>
                </c:pt>
                <c:pt idx="3">
                  <c:v>Natural Sciences</c:v>
                </c:pt>
                <c:pt idx="4">
                  <c:v>Physical education and sports</c:v>
                </c:pt>
                <c:pt idx="5">
                  <c:v>Art and education</c:v>
                </c:pt>
              </c:strCache>
            </c:strRef>
          </c:cat>
          <c:val>
            <c:numRef>
              <c:f>Лист1!$B$82:$B$87</c:f>
              <c:numCache>
                <c:formatCode>General</c:formatCode>
                <c:ptCount val="6"/>
                <c:pt idx="0">
                  <c:v>1711</c:v>
                </c:pt>
                <c:pt idx="1">
                  <c:v>1255</c:v>
                </c:pt>
                <c:pt idx="2">
                  <c:v>1240</c:v>
                </c:pt>
                <c:pt idx="3">
                  <c:v>1219</c:v>
                </c:pt>
                <c:pt idx="4">
                  <c:v>703</c:v>
                </c:pt>
                <c:pt idx="5">
                  <c:v>528</c:v>
                </c:pt>
              </c:numCache>
            </c:numRef>
          </c:val>
        </c:ser>
        <c:dLbls>
          <c:showLegendKey val="0"/>
          <c:showVal val="0"/>
          <c:showCatName val="0"/>
          <c:showSerName val="0"/>
          <c:showPercent val="0"/>
          <c:showBubbleSize val="0"/>
        </c:dLbls>
        <c:gapWidth val="150"/>
        <c:shape val="pyramid"/>
        <c:axId val="323490944"/>
        <c:axId val="323492480"/>
        <c:axId val="0"/>
      </c:bar3DChart>
      <c:catAx>
        <c:axId val="323490944"/>
        <c:scaling>
          <c:orientation val="minMax"/>
        </c:scaling>
        <c:delete val="0"/>
        <c:axPos val="b"/>
        <c:majorTickMark val="out"/>
        <c:minorTickMark val="none"/>
        <c:tickLblPos val="nextTo"/>
        <c:crossAx val="323492480"/>
        <c:crosses val="autoZero"/>
        <c:auto val="1"/>
        <c:lblAlgn val="ctr"/>
        <c:lblOffset val="100"/>
        <c:noMultiLvlLbl val="0"/>
      </c:catAx>
      <c:valAx>
        <c:axId val="323492480"/>
        <c:scaling>
          <c:orientation val="minMax"/>
        </c:scaling>
        <c:delete val="0"/>
        <c:axPos val="l"/>
        <c:majorGridlines/>
        <c:numFmt formatCode="General" sourceLinked="1"/>
        <c:majorTickMark val="out"/>
        <c:minorTickMark val="none"/>
        <c:tickLblPos val="nextTo"/>
        <c:crossAx val="3234909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Лист1!$B$96</c:f>
              <c:strCache>
                <c:ptCount val="1"/>
              </c:strCache>
            </c:strRef>
          </c:tx>
          <c:invertIfNegative val="0"/>
          <c:dLbls>
            <c:showLegendKey val="0"/>
            <c:showVal val="1"/>
            <c:showCatName val="0"/>
            <c:showSerName val="0"/>
            <c:showPercent val="0"/>
            <c:showBubbleSize val="0"/>
            <c:showLeaderLines val="0"/>
          </c:dLbls>
          <c:cat>
            <c:strRef>
              <c:f>Лист1!$A$97:$A$115</c:f>
              <c:strCache>
                <c:ptCount val="19"/>
                <c:pt idx="0">
                  <c:v>Mathematics</c:v>
                </c:pt>
                <c:pt idx="1">
                  <c:v>Geography</c:v>
                </c:pt>
                <c:pt idx="2">
                  <c:v>Russian language and literature</c:v>
                </c:pt>
                <c:pt idx="3">
                  <c:v>Biology</c:v>
                </c:pt>
                <c:pt idx="4">
                  <c:v>Chemistry</c:v>
                </c:pt>
                <c:pt idx="5">
                  <c:v>Pedagogy</c:v>
                </c:pt>
                <c:pt idx="6">
                  <c:v>Physics</c:v>
                </c:pt>
                <c:pt idx="7">
                  <c:v>Kazakh language and literature</c:v>
                </c:pt>
                <c:pt idx="8">
                  <c:v>History of Kazakhstan and social disciplines</c:v>
                </c:pt>
                <c:pt idx="9">
                  <c:v>Computer science</c:v>
                </c:pt>
                <c:pt idx="10">
                  <c:v>English language</c:v>
                </c:pt>
                <c:pt idx="11">
                  <c:v>Psychology</c:v>
                </c:pt>
                <c:pt idx="12">
                  <c:v>Preschool and special education</c:v>
                </c:pt>
                <c:pt idx="13">
                  <c:v>Music education</c:v>
                </c:pt>
                <c:pt idx="14">
                  <c:v>Methods of primary education</c:v>
                </c:pt>
                <c:pt idx="15">
                  <c:v>Foreign languages</c:v>
                </c:pt>
                <c:pt idx="16">
                  <c:v>Vocational training and fine arts</c:v>
                </c:pt>
                <c:pt idx="17">
                  <c:v>Physical Culture and initial Military training</c:v>
                </c:pt>
                <c:pt idx="18">
                  <c:v>Physical Culture</c:v>
                </c:pt>
              </c:strCache>
            </c:strRef>
          </c:cat>
          <c:val>
            <c:numRef>
              <c:f>Лист1!$B$97:$B$115</c:f>
              <c:numCache>
                <c:formatCode>General</c:formatCode>
                <c:ptCount val="19"/>
                <c:pt idx="0">
                  <c:v>698.5</c:v>
                </c:pt>
                <c:pt idx="1">
                  <c:v>674.1</c:v>
                </c:pt>
                <c:pt idx="2">
                  <c:v>489.5</c:v>
                </c:pt>
                <c:pt idx="3">
                  <c:v>479.1</c:v>
                </c:pt>
                <c:pt idx="4">
                  <c:v>458.6</c:v>
                </c:pt>
                <c:pt idx="5">
                  <c:v>440.3</c:v>
                </c:pt>
                <c:pt idx="6">
                  <c:v>420.2</c:v>
                </c:pt>
                <c:pt idx="7">
                  <c:v>415.1</c:v>
                </c:pt>
                <c:pt idx="8">
                  <c:v>393.5</c:v>
                </c:pt>
                <c:pt idx="9">
                  <c:v>380.8</c:v>
                </c:pt>
                <c:pt idx="10">
                  <c:v>352.2</c:v>
                </c:pt>
                <c:pt idx="11">
                  <c:v>341.5</c:v>
                </c:pt>
                <c:pt idx="12">
                  <c:v>301.60000000000002</c:v>
                </c:pt>
                <c:pt idx="13">
                  <c:v>295.2</c:v>
                </c:pt>
                <c:pt idx="14">
                  <c:v>285.3</c:v>
                </c:pt>
                <c:pt idx="15">
                  <c:v>280</c:v>
                </c:pt>
                <c:pt idx="16">
                  <c:v>233.9</c:v>
                </c:pt>
                <c:pt idx="17">
                  <c:v>262.8</c:v>
                </c:pt>
                <c:pt idx="18">
                  <c:v>218.1</c:v>
                </c:pt>
              </c:numCache>
            </c:numRef>
          </c:val>
        </c:ser>
        <c:dLbls>
          <c:showLegendKey val="0"/>
          <c:showVal val="0"/>
          <c:showCatName val="0"/>
          <c:showSerName val="0"/>
          <c:showPercent val="0"/>
          <c:showBubbleSize val="0"/>
        </c:dLbls>
        <c:gapWidth val="150"/>
        <c:shape val="box"/>
        <c:axId val="323517440"/>
        <c:axId val="323576576"/>
        <c:axId val="0"/>
      </c:bar3DChart>
      <c:catAx>
        <c:axId val="323517440"/>
        <c:scaling>
          <c:orientation val="minMax"/>
        </c:scaling>
        <c:delete val="0"/>
        <c:axPos val="b"/>
        <c:majorTickMark val="out"/>
        <c:minorTickMark val="none"/>
        <c:tickLblPos val="nextTo"/>
        <c:crossAx val="323576576"/>
        <c:crosses val="autoZero"/>
        <c:auto val="1"/>
        <c:lblAlgn val="ctr"/>
        <c:lblOffset val="100"/>
        <c:noMultiLvlLbl val="0"/>
      </c:catAx>
      <c:valAx>
        <c:axId val="323576576"/>
        <c:scaling>
          <c:orientation val="minMax"/>
        </c:scaling>
        <c:delete val="0"/>
        <c:axPos val="l"/>
        <c:majorGridlines/>
        <c:numFmt formatCode="General" sourceLinked="1"/>
        <c:majorTickMark val="out"/>
        <c:minorTickMark val="none"/>
        <c:tickLblPos val="nextTo"/>
        <c:crossAx val="323517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BDBA-1C80-4A95-8923-CBEBFB99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Asyll</cp:lastModifiedBy>
  <cp:revision>2</cp:revision>
  <dcterms:created xsi:type="dcterms:W3CDTF">2022-03-25T11:39:00Z</dcterms:created>
  <dcterms:modified xsi:type="dcterms:W3CDTF">2022-03-25T11:39:00Z</dcterms:modified>
</cp:coreProperties>
</file>